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4C.383/2001 vom 11. April 2002</w:t>
      </w:r>
    </w:p>
    <w:p>
      <w:r>
        <w:t>Bundesgericht, 2002-04-11, FR</w:t>
      </w:r>
    </w:p>
    <w:p>
      <w:r>
        <w:rPr>
          <w:b/>
        </w:rPr>
        <w:t xml:space="preserve">Quelle: </w:t>
      </w:r>
      <w:r>
        <w:t>https://mcp.opencaselaw.ch/entscheid/bger_4C.383_2001</w:t>
      </w:r>
    </w:p>
    <w:p>
      <w:r>
        <w:t>FR: TF 4C.383/2001 du 11 avril 2002</w:t>
      </w:r>
    </w:p>
    <w:p>
      <w:r>
        <w:t>IT: TF 4C.383/2001 del 11 aprile 2002</w:t>
      </w:r>
    </w:p>
    <w:p>
      <w:pPr>
        <w:pStyle w:val="Heading2"/>
      </w:pPr>
      <w:r>
        <w:t>Regeste</w:t>
      </w:r>
    </w:p>
    <w:p>
      <w:r>
        <w:t>Droit des contrats</w:t>
      </w:r>
    </w:p>
    <w:p>
      <w:pPr>
        <w:pStyle w:val="Heading2"/>
      </w:pPr>
      <w:r>
        <w:t>Erwägungen</w:t>
      </w:r>
    </w:p>
    <w:p>
      <w:r>
        <w:rPr>
          <w:b/>
        </w:rPr>
        <w:t>E. 1</w:t>
      </w:r>
    </w:p>
    <w:p>
      <w:r>
        <w:t>a) Il résulte des constatations cantonales - qui lient le Tribunal fédéral saisi d'un recours en réforme ( art. 63 al. 2 OJ ) - que l'intimé a noué avec la banque une relation juridique complexe dans laquelle on discerne les éléments caractéristiques d'un compte courant, d'un dépôt ouvert, d'un mandat (au moins pour la gestion administrative des placements) et d'une commission (pour effectuer des placements à titre fiduciaire) (cf. arrêt du Tribunal fédéral du 15 mars 2001 reproduit in SJ 2001 I p. 525 consid. 2a; arrêt du Tribunal fédéral du 29 octobre 1997 reproduit in SJ 1998 p. 198 consid. 6a). b) Il ne ressort pas des constatations cantonales que les parties seraient convenues que la banque mettrait des fonds à disposition du client pour qu'il se livre à des placements (cf. prêt de consommation: art. 312 CO ); il faut donc en déduire que le client a lui-même alimenté son compte, que ce soit par des versements en espèces ou par des virements; les sommes ainsi portées au crédit du compte tenu par la banque font l'objet d'un dépôt irrégulier (cf. art. 481 CO ; ATF 127 III 553 consid. 2f; Guggenheim, Les contrats de la pratique bancaire suisse, 4ème éd., p. 151 s.). La cour cantonale a constaté - d'une manière qui lie le Tribunal fédéral saisi d'un recours en réforme ( art. 63 al. 2 OJ ) - que le gestionnaire employé par la banque avait prélevé sur ce compte au total 1'060'000 FF pour les verser au crédit de deux autres clients dont il s'occupait et qui restent inconnus de l'intimé, agissant ainsi sans qu'aucune instruction générale ou spéciale de l'intimé ne l'y autorise et procédant manifestement à l'encontre des intérêts de ce dernier. De tels transferts ne trouvent aucune justification dans les rapports juridiques entre la banque et l'intimé; ils n'ont donc pas pour effet de libérer la banque de son obligation de restitution en vertu des règles sur le dépôt irrégulier; la banque est donc redevable à l'égard de son client de la somme que celui-ci lui a confiée, dès lors que les transferts auxquels elle a procédé n'avaient pas de fondement ( ATF 127 III 553 consid. 2f et g). c) La banque fait toutefois observer que les parties avaient conclu un contrat de compte courant (sur cette figure juridique: cf. ATF 100 III 79 ; Engel, Traité des obligations en droit suisse, 2ème éd., p. 773 ss). Dans un compte courant, les prétentions et contre-prétentions portées en compte s'éteignent par compensation et une nouvelle créance prend naissance à concurrence du solde (cf. ATF 127 III 147 consid. 2a; 104 II 190 consid. 2a). Il y a novation lorsque le solde du compte a été arrêté et reconnu ( art. 117 al. 2 CO ). La cour cantonale a constaté que l'intimé avait, en décembre 1994 à Abidjan, signé l'état de ses avoirs au 9 décembre 1994 et ainsi reconnu le solde du compte courant; en cette même occasion, il a également signé le document relatif aux transferts litigieux qui avaient été opérés en septembre 1994. d) La novation suppose cependant une cause valable ( ATF 127 III 147 consid. 2a; 104 II 190 consid. 3a). Certes, la reconnaissance du solde vaut renonciation à invoquer les exceptions et objections connues ( ATF 127 III 147 consid. 2a; 104 II 190 consid. 3a; Guggenheim, op. cit. , p. 480 s.); il n'est cependant pas exclu de démontrer que le solde reconnu était faux et que la reconnaissance est affectée d'un vice du consentement (cf. ATF 127 III 147 consid. 2b; 104 II 190 consid. 3a; Laurent Etter, Le contrat de compte courant, thèse Lausanne, 1994, p. 219). L'intimé fait valoir que les signatures qu'il a apposées sur les documents qui lui ont été présentés en décembre 1994 ne le lient pas, parce que son consentement a été obtenu par un dol. e) La cour cantonale a retenu que le gestionnaire de la banque avait astucieusement masqué ses opérations frauduleuses et qu'il avait donné des renseignements mensongers sur les causes du découvert (arrêt attaqué p. 21). L'état de fait contenu dans l'arrêt cantonal semble un peu contradictoire: si le gestionnaire a dû donner des explications mensongères sur les raisons du découvert, c'est que celui-ci n'avait pas été efficacement masqué. Il est probable que la fuite du gestionnaire et l'extrême réticence de la banque à fournir des informations (en raison du secret bancaire) ont contribué à rendre particulièrement difficile l'établissement des faits. Il n'empêche que le Tribunal fédéral, saisi d'un recours en réforme, doit raisonner sur la base des faits contenus dans la décision attaquée ( art. 63 al. 2 OJ ). Il faut tout d'abord constater que l'employé de la banque s'est efforcé de rendre la situation particulièrement confuse. Les documents qu'il a présentés à la signature ne permettent absolument pas de comprendre que les deux montants litigieux (au total 1'060'000 FF) sont transférés à des tiers. Le client pouvait tout aussi bien s'imaginer qu'ils étaient transférés pour effectuer un placement ou pour constituer la garantie dont on lui a parlé. L'importance de ces transferts était masquée par un apport de 1'000'000 FF, qui semblait contrebalancer l'opération, mais qui provenait en réalité d'un achat effectué grâce à un prêt accordé sur le compte en francs suisses, qui n'apparaissait pas en tant que prêt sur les documents présentés. Ces diverses inscriptions rendaient la situation complètement opaque pour une personne qui, comme l'intimé, n'a aucune connaissance en matière de pratique bancaire. Lorsque le client s'est étonné que le solde ait diminué, l'employé de la banque lui a donné des explications mensongères au sujet d'une garantie qui aurait été constituée et qui devait ensuite lui être restituée. De ces circonstances, la cour cantonale a déduit en fait que l'intimé avait signé sans comprendre, faisant confiance à l'employé de la banque. Le dol est une tromperie intentionnelle qui détermine la dupe, dans l'erreur, à accomplir un acte juridique (cf. Von Tuhr/Peter, Allgemeiner Teil des schweizerischen Obligationenrechts, tome I, 3ème éd., p. 320; Engel, op. cit. , p. 349; Schmidlin, Commentaire bernois, n° 16 art. 28 CO ).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(cf. ATF 117 II 218 consid. 6a; 116 II 431 consid. 3a). Il faut imputer à une personne morale la tromperie commise par son organe ( art. 55 al. 2 CC ) ou par ses auxiliaires ( art. 101 al. 1 CO ; ATF 108 II 419 ). Il n'est pas nécessaire que la tromperie provoque une erreur essentielle ( art. 28 al. 1 CO ). Il suffit que l'on doive admettre que la dupe, sans l'erreur, n'aurait pas passé l'acte juridique ou ne l'aurait pas passé aux mêmes conditions (arrêt non publié du 17 décembre 1991 4C.281/1990, consid. 2a). En l'espèce, il a été retenu en fait que l'auxiliaire de la banque a dissimulé la réalité (à savoir que les deux versements litigieux étaient destinés à des tiers et que l'achat compensatoire de francs français avait été réalisé grâce à un prêt) et il a affirmé des faits faux (à savoir qu'une garantie de 1'000'000 FF avait été constituée pour opérer en dollars). Ces diverses formes de tromperie ont empêché l'intimé de comprendre la situation réelle et on peut être convaincu qu'il n'aurait pas signé s'il avait su qu'une somme de 1'060'000 FF avait été transférée sans son ordre à des tiers qu'il ne connaissait même pas. En admettant en pareilles circonstances que l'intimé avait signé les documents, en décembre 1994 à Abidjan, sous l'effet d'un dol, la cour cantonale n'a pas violé le droit fédéral (cf. art. 28 al. 1 CO ). f) En vertu de l' art. 31 CO , l'acte entaché d'un dol est tenu pour ratifié lorsque la partie qu'il n'oblige point a laissé s'écouler une année sans déclarer à l'autre sa résolution de ne pas le maintenir, ou sans répéter ce qu'elle a payé (al. 1); le délai court dès que le dol a été découvert (al. 2). Pour que le délai d'invalidation commence à courir, il ne suffit pas que l'intéressé ait des doutes; il faut qu'il ait connaissance non seulement de son erreur, mais encore du fait que celle-ci a été causée par la tromperie intentionnelle d'autrui ( ATF 108 II 102 consid. 2a p. 105; arrêt du Tribunal fédéral du 24 novembre 1987 reproduit in SJ 1988 p. 486 s. consid. 2a). Selon les constatations qui lient le Tribunal fédéral (cf. art. 63 al. 2 OJ ), l'intimé n'avait aucune raison de mettre en doute la probité de l'employé de la banque avant d'apprendre, par une communication du 25 juillet 1995, qu'il avait quitté l'établissement. Or, moins d'une année plus tard, l'intimé, par une télécopie du 7 février 1996, a clairement émis l'hypothèse que l'employé avait agi de façon malhonnête vis-à-vis des clients et il a manifesté la volonté de remettre en cause les deux versements de 520'000 FF et 540'000 FF qu'il contestait, alors même qu'il ne pouvait lui échapper qu'il avait signé entre-temps le relevé de compte. Il a ainsi évoqué l'hypothèse d'un dol (dont il n'avait pas de preuves à l'époque) et la volonté de revenir sur sa signature et de remettre en cause les deux virements, qui, après réexamen, lui paraissaient douteux. On ne saurait dire à cet égard qu'il a tardé à réagir. Il était essentiel pour lui, afin d'écarter l'hypothèse d'un accord qu'il aurait oublié, de savoir ce qui avait été fait de l'argent prélevé sur le compte. Or, ce n'est qu'en cours de procédure que la banque a révélé que les fonds avaient été transférés en faveur de deux autres de ses clients dont s'occupait l'employé indélicat. Bien que l'avocat de l'intimé ait demandé à la banque quelle avait été l'affectation précise des deux montants prélevés, aucune réponse satisfaisante n'a été donnée à cette question avant l'ouverture de l'action. L'intimé n'était donc pas vraiment au clair sur ce qui s'était passé lorsqu'il a déposé sa demande, le 18 mars 1999, dans laquelle il invoque clairement le caractère vicié de son approbation des documents. On ne saurait donc dire que l'invalidation des signatures pour cause de dol a été invoquée tardivement. Certes, l'intimé a reçu de la banque, par courrier du 13 mai 1996, les documents qu'il avait signés; il était cependant nécessaire, pour qu'il ait une connaissance certaine du dol, qu'il sache quelle avait été l'affectation des deux prélèvements contestés. La banque ne lui a fourni aucune explication claire à ce sujet avant la déclaration d'invalidation, de sorte que celle-ci ne peut être taxée de tardive. Dans la mesure où la recourante voudrait s'écarter des constatations cantonales sur ce que l'intimé savait ou voulait, il n'est pas possible d'en tenir compte (cf. ATF 118 II 58 consid. 3a; 113 II 25 consid. 1a). L'approbation des documents présentés en décembre 1994 ayant été valablement invalidée pour cause de dol, il n'y a pas eu de novation dans le compte courant et la banque reste débitrice, en vertu du dépôt irrégulier, des montants que son client lui a confiés et dont elle a disposé sans droit. Que la banque ait été elle-même victime, sur le plan interne, des agissements de l'employé qu'elle avait préposé à la gestion de ce compte n'y change rien. La condamnation de la recourante ne viole donc pas le droit fédéral et le recours doit être rejeté.</w:t>
      </w:r>
    </w:p>
    <w:p>
      <w:r>
        <w:rPr>
          <w:b/>
        </w:rPr>
        <w:t>E. 2</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