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4C.378/2004 vom 30. Mai 2005</w:t>
      </w:r>
    </w:p>
    <w:p>
      <w:r>
        <w:t>Bundesgericht, 2005-05-30, FR</w:t>
      </w:r>
    </w:p>
    <w:p>
      <w:r>
        <w:rPr>
          <w:b/>
        </w:rPr>
        <w:t xml:space="preserve">Quelle: </w:t>
      </w:r>
      <w:r>
        <w:t>https://mcp.opencaselaw.ch/entscheid/bger_4C.378_2004</w:t>
      </w:r>
    </w:p>
    <w:p>
      <w:r>
        <w:t>FR: TF 4C.378/2004 du 30 mai 2005</w:t>
      </w:r>
    </w:p>
    <w:p>
      <w:r>
        <w:t>IT: TF 4C.378/2004 del 30 maggio 2005</w:t>
      </w:r>
    </w:p>
    <w:p>
      <w:pPr>
        <w:pStyle w:val="Heading2"/>
      </w:pPr>
      <w:r>
        <w:t>Erwägungen</w:t>
      </w:r>
    </w:p>
    <w:p>
      <w:r>
        <w:rPr>
          <w:b/>
        </w:rPr>
        <w:t>E. 1.1</w:t>
      </w:r>
    </w:p>
    <w:p>
      <w:r>
        <w:t>Interjeté par la partie qui a succombé dans ses conclusions en paiement,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t>Invoquant l' art. 64 OJ , la demanderesse entend compléter les faits sur quatre points. En ce qui concerne les domiciles respectifs de Barbara et B.________ durant ces quinze dernières années, elle n'explique toutefois pas en quoi ce fait serait pertinent pour la solution du litige. De même, la demanderesse se borne à rapporter le témoignage de G.________, gestionnaire du compte litigieux, à propos de la date à laquelle elle a fait connaissance de A.________, mais n'indique pas pourquoi ce fait serait déterminant en l'espèce. Enfin, elle se réfère à des déclarations de deux collaborateurs de la banque au sujet des règles internes en matière d'instructions téléphoniques. Là encore, la demanderesse ne fournit aucune explication sur la pertinence du contenu de ces témoignages sur l'issue de la querelle. Le grief apparaît par conséquent irrecevable. Au demeurant, la cour cantonale a fondé son raisonnement sur la clause de banque restante qui liait les parties et, selon ses propres termes, s'est dispensée de déterminer la portée des instructions téléphoniques dans le cas présent. En tout état de cause, il ne saurait donc être question de compléter les faits sur ce point avant d'examiner la motivation de l'arrêt attaqué.</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La cour cantonale a nié que la demanderesse puisse faire valoir à l'égard de la banque une prétention en dommages-intérêts pour les 322 virements effectués prétendument sans ordre valable de 1985 à 1995. Elle a opposé à la cliente de la défenderesse les conditions générales et la clause de banque restante. Elle a jugé en effet que l'application de la fiction de la notification des envois adressés banque restante ne conduisait pas à un résultat inéquitable en l'espèce. Faute d'avoir réagi en temps utile, la demanderesse est ainsi réputée avoir approuvé les virements litigieux.</w:t>
      </w:r>
    </w:p>
    <w:p>
      <w:r>
        <w:t>Fondée sur ce raisonnement, la Cour de justice n'a pas déterminé si les ordres de virement étaient intervenus valablement. En particulier, elle n'a pas établi si les instructions pour ordres téléphoniques avaient été révoquées à l'ouverture du compte ou seulement en 1993. Elle s'est bornée à relater les témoignages contradictoires de deux employés de la banque à ce sujet (F.________ et H.________). De même, elle s'est contentée de citer la déclaration du témoin H.________ - qu'elle confond avec le témoin Têtu dans la partie en droit (consid. 3) - selon laquelle un compte assujetti à la signature collective à deux ne pouvait pas être géré par des instructions téléphoniques, sans se prononcer sur ce point.</w:t>
      </w:r>
    </w:p>
    <w:p>
      <w:r>
        <w:t>Etant donné la motivation développée dans l'arrêt attaqué, il convient d'examiner en premier lieu le grief tiré de l'abus de droit. En effet, si le raisonnement de la cour cantonale devait être confirmé, il n'y aurait pas lieu de se pencher sur les moyens fondés sur la violation des art. 97, 100 et 101 CO .</w:t>
      </w:r>
    </w:p>
    <w:p>
      <w:r>
        <w:rPr>
          <w:b/>
        </w:rPr>
        <w:t>E. 2.1</w:t>
      </w:r>
    </w:p>
    <w:p>
      <w:r>
        <w:t>Selon la demanderesse, la cour cantonale ne pouvait pas appliquer en l'espèce la fiction de la réception liée à la clause de banque restante, dès lors que la défenderesse commettait un abus de droit en l'invoquant. La demanderesse en veut pour preuve le fait que la banque a refusé de dévoiler l'identité des destinataires de plusieurs transferts; ces tiers, protégés par la banque, se sont ainsi trouvés enrichis. De plus, l'application de la fiction de la réception a pour conséquence choquante de réduire l'indemnité matrimoniale de A.________ à concurrence des virements opérés pour l'entretien des enfants.</w:t>
      </w:r>
    </w:p>
    <w:p>
      <w:r>
        <w:rPr>
          <w:b/>
        </w:rPr>
        <w:t>E. 2.2</w:t>
      </w:r>
    </w:p>
    <w:p>
      <w:r>
        <w:t>Les parties étaient liées par une clause dite de banque restante. Selon la jurisprudence, lorsqu'une banque accepte de conserver par devers elle les avis qu'elle adresse à ses clients, ses communications sont opposables à ceux-ci comme s'ils les avaient effectivement reçues ( ATF 104 II 190 consid. 2a p. 194/195); de même, on doit admettre que le client qui adopte ce mode de communication est censé avoir pris connaissance immédiatement des avis qui lui sont adressés de cette façon (arrêt 4C.72/1999 du 26 mai 1999, consid. 2b; arrêt 4C.52/1995 du 17 octobre 1995, consid. 3b/aa; arrêt 4C.116/1995 du 9 août 1995, consid. 5b, reproduit in SJ 1996, p. 193; arrêt C.357/1984 du 7 décembre 1984, consid. 2b, reproduit in SJ 1985, p. 246).</w:t>
      </w:r>
    </w:p>
    <w:p>
      <w:r>
        <w:t>En ce qui concerne les suites juridiques d'une absence de réaction, le destinataire du courrier en banque restante est traité de la même manière, dans ses rapports avec son partenaire contractuel, que le client qui a réellement reçu le courrier. Celui qui reçoit - ou est réputé avoir reçu - de son cocontractant l'avis qu'une obligation a été exécutée d'une certaine façon, est soumis à la règle générale découlant de la bonne foi ( art. 2 al. 1 CC ) et concrétisée à l' art. 6 CO , selon laquelle le silence vaut ratification de l'acte accompli si les circonstances exigent que le cocontractant réagisse en cas de refus ou de désaccord (arrêt du 17 octobre 1995 précité, consid. 3b/aa et 3c; arrêt précité du 7 décembre 1984, consid. 2b et c). Le client qui choisit l'option «banque restante» prend donc un risque, dont il doit supporter les conséquences s'il se réalise (Lombardini, Droit bancaire suisse, n. 74, p. 147; Guggenheim, Les contrats de la pratique bancaire suisse, 4e éd., p. 126).</w:t>
      </w:r>
    </w:p>
    <w:p>
      <w:r>
        <w:t>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 art. 2 al. 2 CC ). Tel est le cas lorsque la banque profite de la fiction de la réception du courrier pour agir sciemment au détriment du client (arrêt 4C.81/2002 du 1er juillet 2002, consid. 4.3; arrêt précité du 17 octobre 1995, consid. 3b/aa; arrêt précité du 9 août 1995, consid. 5b; arrêt précité du 7 décembre 1984, consid. 2b) ou lorsqu'après avoir géré un compte pendant plusieurs années conformément aux instructions orales du client, la banque s'en écarte intentionnellement alors que rien ne le laissait prévoir (arrêt précité du 9 août 1995, consid. 5b), ou encore lorsque la banque sait que le client n'approuve pas les actes communiqués en banque restante (arrêt précité du 1er juillet 2002, consid. 4.3; arrêt 4C.278/1996 du 25 février 1998, consid. 3b).</w:t>
      </w:r>
    </w:p>
    <w:p>
      <w:r>
        <w:rPr>
          <w:b/>
        </w:rPr>
        <w:t>E. 2.3</w:t>
      </w:r>
    </w:p>
    <w:p>
      <w:r>
        <w:t>En l'espèce, il n'est pas contesté que les 322 virements litigieux effectués sur une période de plus de dix ans ont fait l'objet d'avis de débit conservés en banque restante. Conformément à la jurisprudence citée ci-dessus, la demanderesse est réputée avoir pris connaissance de ces documents au fur et à mesure de leur dépôt dans son dossier bancaire. Comme elle ne les a pas contestés en temps utile, elle est censée les avoir ratifiés; en effet, les règles de la bonne foi commandent au titulaire d'un compte de se manifester sans retard si une opération de virement n'est pas conforme à sa volonté. Il est à noter au passage que même les deux derniers virements de décembre 1995, effectués en faveur de E.________ et de C.________, n'ont pas été contestés avant l'ouverture de l'action en mars 1997, alors qu'ils ont été opérés après que A.________, présentée comme l'ayant droit économique de la demanderesse, a eu connaissance des 320 autres virements prétendument non agréés et qu'elle était donc censée s'inquiéter enfin de la gestion du compte.</w:t>
      </w:r>
    </w:p>
    <w:p>
      <w:r>
        <w:t>Cela étant, il reste à déterminer si la cour cantonale a violé le droit fédéral en refusant de considérer comme manifestement inéquitable la situation ainsi créée par l'application stricte de la fiction de la réception des avis de virement. En premier lieu, il convient de relever la très longue durée pendant laquelle la demanderesse n'a pas consulté les communications afférentes à son compte et adressées en banque restante. En effet, pendant près de quinze ans, ni A.________, ayant droit économique de la demanderesse, ni aucun autre représentant de la société ne s'est soucié de la gestion d'un avoir pourtant voué à prospérer. Or, le fait que la demanderesse se soit désintéressée de son compte pendant si longtemps était propre à susciter une situation à risque.</w:t>
      </w:r>
    </w:p>
    <w:p>
      <w:r>
        <w:t>Par ailleurs, aucun élément ne permet de retenir que la banque savait que la demanderesse n'approuvait pas les virements aujourd'hui contestés. A cet égard, il apparaît que la très grande majorité des ordres de paiement, soit 310 sur une période de dix ans, sont intervenus en faveur de A.________ et de ses enfants, ce qui n'était pas de nature à surprendre la défenderesse, qui connaissait la qualité d'ayant droit économique de A.________. Par ailleurs, le seul fait que la défenderesse ait invoqué le secret bancaire pour ne pas divulguer l'identité des destinataires inconnus de trois virements ne suffit pas à établir que la banque savait que la demanderesse n'agréait pas ces paiements. Il n'existe pas non plus d'indice tendant à démontrer que la banque a agi sciemment au détriment de sa cliente. Celle-ci ne le prétend du reste pas, mais soutient que l'argent du compte n° 1 a notamment servi à payer les pensions dues aux enfants A.B.________ par leur père. Ceci demeure toutefois une hypothèse sur le vu des faits établis par la cour cantonale, qui se borne à relater l'opinion de A.________ à ce sujet. En tout état de cause, rien dans la décision entreprise n'autorise à conclure que la banque se serait faite la complice de B.________ pour payer les pensions que celui-ci devait aux enfants au moyen de l'argent de leur mère.</w:t>
      </w:r>
    </w:p>
    <w:p>
      <w:r>
        <w:t>En considération de l'ensemble de ces circonstances, il n'apparaît pas que l'application de la fiction de la réception conduise en l'espèce à une situation gravement contraire à l'équité et que la défenderesse commette un abus de droit en invoquant la clause de banque restante. C'est donc à juste titre que la cour cantonale, à l'instar du juge de première instance, a refusé d'accueillir les prétentions de la demanderesse. Le recours sera ainsi rejeté.</w:t>
      </w:r>
    </w:p>
    <w:p>
      <w:r>
        <w:rPr>
          <w:b/>
        </w:rPr>
        <w:t>E. 3</w:t>
      </w:r>
    </w:p>
    <w:p>
      <w:r>
        <w:t>Vu le sort réservé au recours, il y a lieu de mettre les frais judiciaires à la charge de la demanderesse ( art. 156 al. 1 OJ ). Celle-ci versera en outre à la défenderesse une indemnité à titre de dépens ( art. 159 al. 1 OJ ), prélevée sur les sûretés fournies. Il ne se justifie pas d'accorder de dépens à l'appelée en cause, qui appuyait les conclusions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