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4C.377/2002 vom 19. Mai 2003</w:t>
      </w:r>
    </w:p>
    <w:p>
      <w:r>
        <w:t>Bundesgericht, 2003-05-19, FR</w:t>
      </w:r>
    </w:p>
    <w:p>
      <w:r>
        <w:rPr>
          <w:b/>
        </w:rPr>
        <w:t xml:space="preserve">Quelle: </w:t>
      </w:r>
      <w:r>
        <w:t>https://mcp.opencaselaw.ch/entscheid/bger_4C.377_2002</w:t>
      </w:r>
    </w:p>
    <w:p>
      <w:r>
        <w:t>FR: TF 4C.377/2002 du 19 mai 2003</w:t>
      </w:r>
    </w:p>
    <w:p>
      <w:r>
        <w:t>IT: TF 4C.377/2002 del 19 maggio 2003</w:t>
      </w:r>
    </w:p>
    <w:p>
      <w:pPr>
        <w:pStyle w:val="Heading2"/>
      </w:pPr>
      <w:r>
        <w:t>Regeste</w:t>
      </w:r>
    </w:p>
    <w:p>
      <w:r>
        <w:t>Propriété intellectuelle, concurrence et cartels</w:t>
      </w:r>
    </w:p>
    <w:p>
      <w:pPr>
        <w:pStyle w:val="Heading2"/>
      </w:pPr>
      <w:r>
        <w:t>Erwägungen</w:t>
      </w:r>
    </w:p>
    <w:p>
      <w:r>
        <w:rPr>
          <w:b/>
        </w:rPr>
        <w:t>E. 1</w:t>
      </w:r>
    </w:p>
    <w:p>
      <w:r>
        <w:t>Interjeté par la partie qui a succombé et dirigé contre un jugement final, rendu en instance cantonale unique (art. 58 al. 3 de la loi fédérale sur la protection des marques et des indications de provenance du 28 août 1992 (LPM; RS 232.11) et art. 1 de la loi genevoise (I 1 10) sur la concurrence déloyale, les liquidations et opérations analogues et sur les jeux-concours publicitaires du 3 mai 1991) par l'autorité judiciaire suprême du canton de Genève, portant sur une contestation civile au sens de l' art. 45 let. a OJ , le recours en réforme est en principe recevable; en outre, il a été formé en temps utile ( art. 54 al. 1 OJ ) et dans les formes requises ( art. 55 OJ ).</w:t>
      </w:r>
    </w:p>
    <w:p>
      <w:r>
        <w:rPr>
          <w:b/>
        </w:rPr>
        <w:t>E. 1.1</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w:t>
      </w:r>
    </w:p>
    <w:p>
      <w:r>
        <w:rPr>
          <w:b/>
        </w:rPr>
        <w:t>E. 1.2</w:t>
      </w:r>
    </w:p>
    <w:p>
      <w:r>
        <w:t>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La défenderesse n'est pas recevable à invoquer la duplicité de sa partie adverse, laquelle aurait prolongé des pourparlers pour dissuader Télésonique de se défendre devant la Cour de justice, ce qui aurait entraîné l'application - préjudiciable pour la recourante principale - en instance cantonale de l' art. 126 al. 2 et 3 LPC gen. Ce moyen concerne pour l'essentiel le droit de procédure cantonal, dont la censure échappe, on vient de le voir, à la juridiction fédérale de réforme ( art. 55 al. 1 let . c in fine OJ). Il s'ensuit que le grief de violation de l' art. 2 CC , fondé exclusivement sur ce fait de procédure, est irrecevable.</w:t>
      </w:r>
    </w:p>
    <w:p>
      <w:r>
        <w:rPr>
          <w:b/>
        </w:rPr>
        <w:t>E. 2.1</w:t>
      </w:r>
    </w:p>
    <w:p>
      <w:r>
        <w:t>Dans son examen du recours, le Tribunal fédéral ne saurait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rejeter un recours en adoptant une autre argumentation juridique que celle retenue par la cour cantonale ( ATF 127 III 248 consid. 2c et les références citées). Comme les conclusions du recours joint sont, à l'instar de celles du recours principal, soumises aux exigences de l' art. 55 al. 1 let. b OJ ( art. 59 al. 3 OJ ), la demanderesse ne peut pas en prendre de nouvelles par rapport à celles soumises à la dernière instance cantonale, pas davantage qu'elle n'a le pouvoir de les modifier (Poudret, COJ II, n. 1.4.3. ad art. 55 OJ p. 425 et n. 2.4.2. ad art. 59 et 61 OJ p. 480/481). La recourante par voie de jonction n'est ainsi pas recevable à requérir la radiation du nom de domaine "tonline.ch", qui est une conclusion nouvelle par rapport à sa demande de transfert. Même si la radiation sollicitée poursuit le même but de protection de la marque que le transfert du nom de domaine, elle a une nature et des conséquences différentes de celui-ci. Il s'ensuit que le recours joint est irrecevable en ce que la demanderesse conclut subsidiairement à la radiation du nom de domaine "tonline.ch".</w:t>
      </w:r>
    </w:p>
    <w:p>
      <w:r>
        <w:rPr>
          <w:b/>
        </w:rPr>
        <w:t>E. 2.2</w:t>
      </w:r>
    </w:p>
    <w:p>
      <w:r>
        <w:t>D'un point de vue technique, le nom de domaine n'est qu'un instrument qui a pour fonction d'identifier un ordinateur connecté au réseau. Toutefois, pour l'usager d'Internet, il désigne un site Web comme tel et permet de rechercher la personne qui l'exploite, la chose ou les prestations qui s'y rattachent. Dans cette mesure, suivant les cas particuliers, le nom de domaine est comparable à un signe distinctif, comme un nom, une raison sociale ou une marque. La fonction d'identification des noms de domaine a pour conséquence qu'ils doivent se distinguer suffisamment des signes distinctifs appartenant à des tierces personnes et protégés par un droit absolu, cela afin d'empêcher des confusions.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 ATF 128 III 353 consid. 3 p. 357/358 et les références; Philippe Gilliéron, Les noms de domaine: Possibilités de protection et de résolution des conflits, in: sic ! 2000, p. 73 et 75; Andreas Ruff, DomainLaw, Der Rechtsschutz von Domain-Namen im Internet, Berlin 2002, p. 62 in initio). Pour apprécier si un nom de domaine peut être confondu avec un droit exclusif tel une marque enregistrée, il faut se fonder non pas sur le contenu du site que cette adresse électronique permet d'atteindre, mais bien sur le libellé de l'adresse internet. C'est en effet uniquement celle-ci qui éveille l'intérêt du public et lui donne l'espoir d'obtenir des informations conformes à l'association d'idées évoquée par le nom de domaine. Partant, et contrairement à ce que soutient la défenderesse, il n'importe que les services offerts dans le site soient de nature différente de ceux proposés par le titulaire de la marque (cf. ATF 128 III 353 consid. 4.2.2.1 et la doctrine citée, p. 363). Pour évaluer le risque de confusion, qui est une notion identique pour tout le domaine des signes distinctifs ( ATF 128 III 353 consid. 4 p. 359; 126 III 239 consid. 3a), il convient d'examiner l'impression d'ensemble qui se dégage en Suisse du signe distinctif litigieux ( ATF 128 III 353 consid. 4 in fine et les références, p. 359), même si, comme le relève la défenderesse, en matière de noms de domaine, chaque détail pourrait avoir une fonction distinctive propre à éviter le danger de confusion (cf. Joachim Bornkamm, Domain-Namen - Kennzeichen- und lauterkeitsrechtliche Probleme, in: Neueste Entwicklungen im europäischen und internationalen Immaterialgüterrecht, Fünftes St. Galler internationales Immaterialgüterrechtsforum 2001, p. 116, auteur qui laisse la question ouverte).</w:t>
      </w:r>
    </w:p>
    <w:p>
      <w:r>
        <w:rPr>
          <w:b/>
        </w:rPr>
        <w:t>E. 2.3</w:t>
      </w:r>
    </w:p>
    <w:p>
      <w:r>
        <w:t>Dans le cas présent, la cour cantonale était fondée à relever que la marque antérieure "T-Online" et le nom de domaine "tonline.ch" présentent un très haut degré de similarité, indépendamment du contenu des sites web, de sorte qu'elle n'a pas violé le droit fédéral, singulièrement le droit des marques ( art. 13 al. 1 LPM ), en frappant d'interdiction l'usage du nom de domaine "tonline.ch" par la défenderesse, lequel créait indubitablement un risque de confusion avec la marque de la demanderesse et les services de télécommunications que celle-ci offre, à l'instar de son adverse partie, à sa clientèle. Le moyen de la défenderesse pris d'une mauvaise application de la LPM est sans fondement. En revanche, la Cour de justice a méconnu que le transfert du nom de domaine au titulaire de la marque lésée pouvait se fonder sur l' art. 43 al. 1 CO , norme qui n'exclut pas la réparation en nature ( ATF 107 II 134 consid. 4 et les arrêts cités, p. 139/140), de sorte que l'injonction faite à l'usurpateur de fournir toutes les déclarations nécessaires au rétablissement d'une situation conforme au droit, soit en l'espèce le transfert ultérieur du nom de domaine litigieux au titulaire de la marque, est possible, même si l' art. 53 LPM ne le prévoit pas expressément ( ATF 128 III 401 consid. 8, publié in: sic ! 2002 p. 865). Le recours joint sera en conséquence admis sur ce point, en ce sens que le Tribunal fédéral ordonnera à la défenderesse de fournir tous les éléments et déclarations nécessaires au transfert du nom de domaine "tonline.ch" à la demanderesse ou à tout tiers désigné par elle.</w:t>
      </w:r>
    </w:p>
    <w:p>
      <w:r>
        <w:rPr>
          <w:b/>
        </w:rPr>
        <w:t>E. 3</w:t>
      </w:r>
    </w:p>
    <w:p>
      <w:r>
        <w:t>La cour cantonale a retenu à juste titre que le risque de confusion, sanctionné en vertu de l' art. 13 al. 1 LPM , tombait également sous le coup des art. 2 et 3 let . d de la loi fédérale contre la concurrence déloyale du 19 décembre 1986 (LCD; RS 241). Cette dernière disposition prévoit qu'agit de façon déloyale celui qui prend des mesures qui sont de nature à faire naître une confusion avec les marchandises, les oeuvres, les prestations ou les affaires d'autrui, étant rappelé qu'il n'est pas nécessaire que des confusions se soient produites, mais qu'il suffit que les acheteurs, voire même les cercles spécialisés, puissent croire à l'existence de liens entre deux entreprises utilisant des désignations prêtant à confusion ( ATF 114 II 106 consid. 3b in fine, p. 111 et l'arrêt cité; Kamen Troller, Précis du droit suisse des biens immatériels, p. 342). Ainsi, la protection contre le risque de confusion est assurée aussi bien par le droit des marques que par l' art. 3 let . d LCD, norme qualifiée de "petite clause générale" de la loi contre la concurrence déloyale en ce qu'elle précise l' art. 2 LCD tout en offrant au lésé une garantie plus efficace (cf. François Dessemontet, La propriété intellectuelle, publication CEDIDAC 42, p. 357). De manière générale, l'action fondée sur l' art. 3 let . d LCD suit le sort de celle basée sur le droit des marques, lorsque la LPM et la LCD s'appliquent ensemble, en concours idéal (Philippe Gilliéron, op. cit., p. 80). En l'occurrence, en ayant enregistré le 7 janvier 2000 le nom de domaine "tonline.ch", dont la similarité orthographique et euphonique avec la marque antérieure "T-Online" de la demanderesse est patente, la défenderesse a adopté un comportement contraire à la bonne foi qui tombe sous le coup de l' art. 3 let . d LCD, de sorte que le moyen de la recourante principale qui repose sur l'application erronée de cette loi fédérale est dénué de tout fondement.</w:t>
      </w:r>
    </w:p>
    <w:p>
      <w:r>
        <w:rPr>
          <w:b/>
        </w:rPr>
        <w:t>E. 4</w:t>
      </w:r>
    </w:p>
    <w:p>
      <w:r>
        <w:t>La défenderesse reproche enfin à la Cour de justice d'avoir alloué 15'000 fr. de dommages-intérêts à la demanderesse, alors que cette dernière n'aurait pas établi avoir subi un préjudice. La recourante principale y voit une violation des règles sur le fardeau de la preuve.</w:t>
      </w:r>
    </w:p>
    <w:p>
      <w:r>
        <w:rPr>
          <w:b/>
        </w:rPr>
        <w:t>E. 4.1</w:t>
      </w:r>
    </w:p>
    <w:p>
      <w:r>
        <w:t>La fixation du dommage ressortit en principe au juge du fait. Saisi d'un recours en réforme, le Tribunal fédéral n'intervient que si l'autorité cantonale a méconnu la notion juridique du dommage ou si elle a violé des principes juridiques relatifs au calcul du préjudice. L'estimation du dommage d'après l' art. 42 al. 2 CO repose sur le pouvoir d'apprécier les faits; elle relève donc de la constatation des faits, laquelle ne peut être revue en instance de réforme. Ressortit par contre au droit le point de savoir quel degré de vraisemblance la survenance du dommage doit atteindre pour justifier l'application de l' art. 42 al. 2 CO et si les faits allégués permettent de statuer sur la prétention en dommages-intérêts déduite en justice. Il n'en demeure pas moins que, dans la mesure où l'autorité cantonale, sur la base d'une appréciation des preuves et des circonstances concrètes, a admis ou nié que la vraisemblance de la survenance du préjudice confinait à la certitude, elle a posé une constatation de fait qui est, sous réserve d'exceptions non réalisées en l'espèce, soustraite au contrôle de la juridiction fédérale de réforme ( ATF 126 III 388 consid. 8a et les arrêts cités). En l'espèce, le grief de violation des règles sur la répartition du fardeau de la preuve est devenu sans objet ( ATF 128 III 271 consid. 2b/aa et les arrêts cités, p. 277), dans la mesure où, dans son appréciation des preuves et des faits, la cour cantonale a été convaincue de l'existence d'un dommage, dont la quotité ne pouvait être fixée avec exactitude, raison pour laquelle elle a fait usage de l' art. 42 al. 2 CO . En effet, l' art. 8 CC ne permet pas de corriger l'appréciation des preuves à laquelle a procédé la juridiction cantonale ( ATF 128 III 22 consid. 2d et les arrêts cités, p. 25/26).</w:t>
      </w:r>
    </w:p>
    <w:p>
      <w:r>
        <w:rPr>
          <w:b/>
        </w:rPr>
        <w:t>E. 4.2</w:t>
      </w:r>
    </w:p>
    <w:p>
      <w:r>
        <w:t>Les art. 55 al. 2 LPM et 9 al. 3 LCD réservent les actions intentées en vertu du code des obligations, et notamment l'action en dommages-intérêts fondée sur l' art. 41 CO , dont les conditions doivent être réalisées (Kamen Troller, Manuel du droit suisse des biens immatériels, tome II, 2e éd., p. 1030; Roland von Büren/Lucas David, Schweizerisches Immaterialgüter- und Wettbewerbsrecht, vol. I/2, 2e éd., p. 113; Mario M. Pedrazzini/Federico A. Pedrazzini, Unlauterer Wettbewerb UWG, 2e éd., p. 236 ss). La défenderesse ne critique pas l'arrêt attaqué sous l'angle des conditions d'application de l' art. 41 CO relatives à l'acte illicite, à la faute et au rapport de causalité adéquate, mais s'attache uniquement à contester l'existence d'un dommage. Dans la mesure où ce moyen est recevable - ce qui est douteux -, il apparaît que la cour cantonale a tenu compte notamment de la durée de l'atteinte, qui s'est étendue sur plus de deux ans, ainsi que du comportement de la défenderesse, laquelle n'a pas obtempéré immédiatement à l'ordonnance de mesures provisionnelles urgentes lui interdisant l'utilisation du nom de domaine litigieux et n'a pas répondu à la demande au fond. Sur la base de ces éléments, la Cour de justice a pu faire usage du pouvoir d'appréciation que lui confère l' art. 42 al. 2 CO , disposition qui ne se rapporte pas seulement à la quotité du dommage, mais déjà à la constatation de son existence même (von Büren/David, op. cit., p. 116). On ne discerne in casu aucune violation du droit fédéral.</w:t>
      </w:r>
    </w:p>
    <w:p>
      <w:r>
        <w:rPr>
          <w:b/>
        </w:rPr>
        <w:t>E. 5</w:t>
      </w:r>
    </w:p>
    <w:p>
      <w:r>
        <w:t>En résumé, le recours principal est rejeté dans la mesure où il est recevable. Le recours joint est partiellement admis dans la mesure où il est recevable. Il s'ensuit qu'un émolument global de 4'000 fr. (3'000 fr. + 1'000 fr.) doit être mis à la charge de la défenderesse qui succombe entièrement. De même, un émolument de 1'000 fr. sera mis à la charge de la demanderesse, dont le recours joint est en partie irrecevable. Dans ces conditions, la demanderesse, dont les conclusions ont été en grande partie accueillies, a droit à une indemnité réduite à titre de dépens que lui versera la recourante principale.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