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4C.372/1999 vom 20. April 2000</w:t>
      </w:r>
    </w:p>
    <w:p>
      <w:r>
        <w:t>Bundesgericht, 2000-04-20, DE</w:t>
      </w:r>
    </w:p>
    <w:p>
      <w:r>
        <w:rPr>
          <w:b/>
        </w:rPr>
        <w:t xml:space="preserve">Quelle: </w:t>
      </w:r>
      <w:r>
        <w:t>https://mcp.opencaselaw.ch/entscheid/bger_4C.372_1999</w:t>
      </w:r>
    </w:p>
    <w:p>
      <w:r>
        <w:t>FR: TF 4C.372/1999 du 20 avril 2000</w:t>
      </w:r>
    </w:p>
    <w:p>
      <w:r>
        <w:t>IT: TF 4C.372/1999 del 20 aprile 2000</w:t>
      </w:r>
    </w:p>
    <w:p>
      <w:pPr>
        <w:pStyle w:val="Heading2"/>
      </w:pPr>
      <w:r>
        <w:t>Erwägungen</w:t>
      </w:r>
    </w:p>
    <w:p>
      <w:r>
        <w:rPr>
          <w:b/>
        </w:rPr>
        <w:t>E. 1</w:t>
      </w:r>
    </w:p>
    <w:p>
      <w:r>
        <w:t>Im Berufungsverfahren ist das Bundesgericht an die tatsächlichen Feststellungen der letzten kantonalen Instanz gebunden, wenn sie nicht offensichtlich auf Versehen beruhen, unter Verletzung bundesrechtlicher Beweisvorschriften zustandegekommen ( Art. 63 Abs. 2 OG ) oder im Hinblick auf den Tatbestand einer anwendbaren Sachnorm ergänzungsbedürftig sind ( Art. 64 OG ). Werden solche Ausnahmen geltend gemacht, so hat die Partei, welche den Sachverhalt berichtigt oder ergänzt wissen will, darüber genaue Angaben mit Aktenhinweisen zu machen. Eine Ergänzung setzt zudem voraus, dass entsprechende Sachbehauptungen bereits im kantonalen Verfahren prozesskonform aufgestellt, von der Vorinstanz aber zu Unrecht für unerheblich gehalten oder übersehen worden sind, was wiederum näher anzugeben ist; andernfalls gelten die Vorbringen als neu und damit als unzulässig ( Art. 55 Abs. 1 lit. c und d OG ; BGE 119 II 353 E. 5c/aa S. 357 und 115 II 484 E. 2a S. 485 f., je mit Hinweisen). Für eine blosse Kritik an der Beweiswürdigung des kantonalen Sachgerichts ist, soweit nicht Vorschriften des Bundesrechts in Frage stehen, die Berufung ausgeschlossen ( BGE 120 II 97 E. 2b S. 99; 119 II 380 E. 3b S. 382 mit Hinweisen). Welche Bundesrechtssätze der angefochtene Entscheid verletzt und inwiefern er gegen sie verstösst, ist in der Berufungsschrift kurz darzulegen ( Art. 55 Abs. 1 lit. c OG ).</w:t>
      </w:r>
    </w:p>
    <w:p>
      <w:r>
        <w:rPr>
          <w:b/>
        </w:rPr>
        <w:t>E. 2</w:t>
      </w:r>
    </w:p>
    <w:p>
      <w:r>
        <w:t>Unter den Parteien umstritten ist vorab die Aktivlegitimation des Klägers. Der eingeklagte Anspruch stand nach klägerischer Darstellung ursprünglich einer "Erbengemeinschaft Graf Dürckheim" zu, die ihm sämtliche ihr zustehenden Rechte gegen den Beklagten, insbesondere aber die hier streitige Restforderung von DM 323'000.-- zediert habe. Der Beklagte wendet hiergegen ein, die vom Kläger ins Recht gelegte Abtretungserklärung stamme von einer Gemeinschaft des Erbrechts. Der Kläger mache nun aber geltend, bei der "Erbengemeinschaft Graf Dürckheim" handle es sich nicht um eine Erbengemeinschaft im zivilrechtlichen Sinne, sondern um eine bürgerliche Gemeinschaft im Sinne des deutschen BGB, welche der einfachen Gesellschaft gemäss Art. 530 ff. OR entspreche. Da von dieser bürgerlichen Gemeinschaft keine Abtretungsvereinbarung vorliege, sei der Kläger nicht aktivlegitimiert.</w:t>
      </w:r>
    </w:p>
    <w:p>
      <w:r>
        <w:t>Der Kläger hat sich im kantonalen Berufungsverfahren erstmals zur Rechtsform der "Erbengemeinschaft Graf Dürckheim" geäussert. Namentlich geht auch aus der Abtretungserklärung nicht hervor, ob es sich bei der Zedentin um eine erbrechtliche oder bürgerliche Gemeinschaft handle. Nach der klägerischen Darstellung war es aber stets ein und dieselbe Gemeinschaft, welche als Partei der "Dienstleistungsvereinbarung" zu betrachten sei. Der Vorwurf, der Kläger habe sich bloss die Ansprüche einer erbrechtlichen, nicht aber diejenigen einer bürgerlichen Gemeinschaft abtreten lassen, ist daher unbegründet.</w:t>
      </w:r>
    </w:p>
    <w:p>
      <w:r>
        <w:rPr>
          <w:b/>
        </w:rPr>
        <w:t>E. 3</w:t>
      </w:r>
    </w:p>
    <w:p>
      <w:r>
        <w:t>Weiter macht der Beklagte geltend, nach dem übereinstimmenden Willen der Parteien sei die Dienstleistungsvereinbarung vom 29. September 1989 zwischen der "Erbengemeinschaft Graf Dürckheim" und der PHE GmbH geschlossen worden. Für eine Auslegung nach dem Vertrauensprinzip bleibe deshalb kein Raum. Die Vorinstanz verletze Art. 18 OR , wenn sie in normativer Auslegung des Dienstleistungsvertrages die Passivlegitimation des Beklagten bejahe.</w:t>
      </w:r>
    </w:p>
    <w:p>
      <w:r>
        <w:t>Der Inhalt eines Vertrages bestimmt sich in erster Linie durch subjektive Auslegung, das heisst nach dem übereinstimmenden wirklichen Parteiwillen ( Art. 18 Abs. 1 OR ). Erst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Der Vorrang der empirischen oder subjektiven vor der normativen oder objektiven Vertragsauslegung ergibt sich aus Art. 18 OR als Auslegungsregel. Die Verletzung dieses Grundsatzes kann deshalb mit Berufung gerügt werden ( BGE 121 III 118 E. 4b/aa S. 123 mit Hinweisen). Gemäss Art. 8 ZGB trägt jene Partei die Behauptungs- und Beweislast für Bestand und Inhalt eines vom normativen Auslegungsergebnis abweichenden subjektiven Vertragswillens, welche aus diesem Willen zu ihren Gunsten eine Rechtsfolge ableitet.</w:t>
      </w:r>
    </w:p>
    <w:p>
      <w:r>
        <w:t>Der Beklagte zeigt nicht auf, sich bereits vor Obergericht darauf berufen zu haben, dass nach dem übereinstimmenden subjektiven Parteiwillen die PHE GmbH Partei der Dienstleistungsvereinbarung sein solle. Im Gegenteil geht aus seiner kantonalen Berufungsschrift hervor, dass er sich im vorinstanzlichen Verfahren selbst auf die normative Vertragsauslegung gestützt hatte. Wenn das Obergericht den Inhalt der Dienstleistungsvereinbarung durch vertrauentheoretische Auslegung ermittelt hat, ist dies daher von Bundesrechts wegen nicht zu beanstanden.</w:t>
      </w:r>
    </w:p>
    <w:p>
      <w:r>
        <w:rPr>
          <w:b/>
        </w:rPr>
        <w:t>E. 4</w:t>
      </w:r>
    </w:p>
    <w:p>
      <w:r>
        <w:t>Das Obergericht kam im angefochtenen Urteil unter Verweis auf die erstinstanzlichen Erwägungen zum Schluss, die Parteien hätten mit dem Abschluss der Dienstleistungsvereinbarung vom 29. September 1989 in Tat und Wahrheit die Rückerstattung eines Darlehens über insgesamt DM 935'000.-- bezweckt, welches die "Erbengemeinschaft Graf Dürckheim" der PHE KG gewährt habe.</w:t>
      </w:r>
    </w:p>
    <w:p>
      <w:r>
        <w:t>Der Beklagte wendet dagegen ein, die Parteien hätten die Dienstleistungsvereinbarung nicht simuliert, sondern ernst gemeint. Was er in diesem Zusammenhang vorbringt, läuft indessen auf blosse Kritik an der Beweiswürdigung des Obergerichts hinaus. Er macht geltend, "alle Indizien" sprächen für den Umstand, dass noch weitere Personen an der Erbengemeinschaft beteiligt seien, zeigt jedoch nicht auf, inwiefern die Vorinstanz in diesem Zusammenhang Bundesrecht verletzt haben soll. Seine Darstellung, wonach die Parteien mit dem Abschluss der Dienstleistungsvereinbarung bezweckt hätten, der Gesellschaft das Know-how des Klägers zu erhalten, weicht von den tatsächlichen Feststellungen des angefochtenen Urteils ab, ohne dass zugleich eine Verletzung bundesrechtlicher Beweisvorschriften dargetan wäre. Auf die Rüge ist daher nicht einzutreten ( Art. 55 Abs. 1 lit. c OG ).</w:t>
      </w:r>
    </w:p>
    <w:p>
      <w:r>
        <w:rPr>
          <w:b/>
        </w:rPr>
        <w:t>E. 5</w:t>
      </w:r>
    </w:p>
    <w:p>
      <w:r>
        <w:t>Der Beklagte macht sodann geltend, falls sich der Dienstleistungsvertrag als simuliert erweisen sollte, falle der Kaufvertrag über die PHE GmbH [recte: PHE KG] wegen Formungültigkeit dahin, da die Darlehensrückzahlung als versteckte Kaufpreisforderung zu qualifizieren wäre.</w:t>
      </w:r>
    </w:p>
    <w:p>
      <w:r>
        <w:t>Das Obergericht hat im angefochtenen Urteil ausgeführt, der Beklagte habe erstmals in der Berufungsverhandlung den Einwand erhoben, der Kaufvertrag sei formungültig. Der Beklagte rügt dies als aktenwidrig und verweist auf Seite 12 seiner Plädoyernotizen aus dem erstinstanzlichen Verfahren. An der zitierten Stelle führt der Beklagte indessen nur aus, wenn die Darlehensrückzahlung als versteckte Kaufpreisforderung qualifiziert werde, müsse die Käuferin der PHE-Gruppe - die Innopharm Holding AG - als Partei der Dienstleistungsvereinbarung betrachtet werden und sei folglich auch zur Darlehensrückzahlung verpflichtet. Diesen Ausführungen lässt sich offensichtlich nicht entnehmen, dass sich der Beklagte bereits im Verfahren vor dem Kantonsgericht auf die Formungültigkeit des Kaufvertrages berufen hätte. Der Vorwurf der Aktenwidrigkeit ist mithin unberechtigt.</w:t>
      </w:r>
    </w:p>
    <w:p>
      <w:r>
        <w:rPr>
          <w:b/>
        </w:rPr>
        <w:t>E. 6</w:t>
      </w:r>
    </w:p>
    <w:p>
      <w:r>
        <w:t>Schliesslich rügt der Beklagte wiederholt, zu den Darlehensgebern hätten nicht nur der Kläger und seine Schwester, sondern auch Arnd-Ulrich Mackenthun gehört. Die Differenz zwischen dem Betrag von DM 935'000.-- und den bisher erfolgten Zahlungen entspreche "quasi dem Anspruch ArndUlrich Mackenthuns", der seine Forderung dem Kläger nicht abgetreten habe.</w:t>
      </w:r>
    </w:p>
    <w:p>
      <w:r>
        <w:t>Das Obergericht hat im angefochtenen Urteil festgestellt, die Dienstleistungsvereinbarung habe inhaltlich die Rückzahlung eines Darlehens der "Erbengemeinschaft Graf Dürckheim" bezweckt. Mitglieder dieser Gemeinschaft seien aber nur der Kläger und seine Schwester. Diese Beweiswürdigung wurde vom Bundesgericht im staatsrechtlichen Beschwerdeverfahren für verfassungskonform erachtet. Wenn der Beklagte nun geltend macht, zu den Darlehensgebern habe noch eine weitere Person gehört, setzt er sich über die im Berufungsverfahren verbindlichen tatsächlichen Feststellungen der Vorinstanz hinweg, ohne zugleich eine Verletzung bundesrechtlicher Beweisvorschriften zu rügen. Darauf ist nicht einzutreten ( Art. 55 Abs. 1 lit. c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