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4C.371/2006 vom 19. Januar 2007</w:t>
      </w:r>
    </w:p>
    <w:p>
      <w:r>
        <w:t>Bundesgericht, 2007-01-19, FR</w:t>
      </w:r>
    </w:p>
    <w:p>
      <w:r>
        <w:rPr>
          <w:b/>
        </w:rPr>
        <w:t xml:space="preserve">Quelle: </w:t>
      </w:r>
      <w:r>
        <w:t>https://mcp.opencaselaw.ch/entscheid/bger_4C.371_2006</w:t>
      </w:r>
    </w:p>
    <w:p>
      <w:r>
        <w:t>FR: TF 4C.371/2006 du 19 janvier 2007</w:t>
      </w:r>
    </w:p>
    <w:p>
      <w:r>
        <w:t>IT: TF 4C.371/2006 del 19 gennaio 2007</w:t>
      </w:r>
    </w:p>
    <w:p>
      <w:pPr>
        <w:pStyle w:val="Heading2"/>
      </w:pPr>
      <w:r>
        <w:t>Regeste</w:t>
      </w:r>
    </w:p>
    <w:p>
      <w:r>
        <w:t>contrat d'entreprise: garantie de l'entrepreneur | Droit des contrats</w:t>
      </w:r>
    </w:p>
    <w:p>
      <w:pPr>
        <w:pStyle w:val="Heading2"/>
      </w:pPr>
      <w:r>
        <w:t>Erwägungen</w:t>
      </w:r>
    </w:p>
    <w:p>
      <w:r>
        <w:rPr>
          <w:b/>
        </w:rPr>
        <w:t>E. 1</w:t>
      </w:r>
    </w:p>
    <w:p>
      <w:r>
        <w:t>L'arrêt dont est recours a été rendu avant l'entrée en vigueur, au 1er janvier 2007, de la loi fédérale sur le Tribunal fédéral du 17 juin 2005 (LTF; RO 2006 p. 1242). En vertu de l'art. 132 al. 1 de cette loi, la cause demeure soumise à la loi fédérale d'organisation judiciaire du 16 décembre 1943 (OJ).</w:t>
      </w:r>
    </w:p>
    <w:p>
      <w:r>
        <w:rPr>
          <w:b/>
        </w:rPr>
        <w:t>E. 2</w:t>
      </w:r>
    </w:p>
    <w:p>
      <w:r>
        <w:t>Le recours est formé par une partie qui a succombé dans des conclusions concernant sa situation juridique personnelle. Il est dirigé contre un jugement final rendu en dernière instance cantonale par un tribunal suprême ( art. 48 al. 1 OJ ), dans une contestation civile dont la valeur litigieuse dépasse le seuil de 8'000 fr. ( art. 46 OJ ). Déposé en temps utile ( art. 54 al. 1 OJ ) et dans les formes requises ( art. 55 OJ ), il est en principe recevable. Le recours en réforme peut être exercé pour violation du droit fédéral, à l'exclusion des droits constitutionnels et du droit cantonal ( art. 43 al. 1 OJ ; ATF 127 III 248 consid. 2c et les arrêts cités). Sous réserve d'exceptions qui ne sont pas réalisées dans la présente affaire, le Tribunal fédéral doit conduire son raisonnement juridique sur la base des faits constatés dans la décision attaquée ( art. 63 al. 2 et 64 OJ ; ATF 130 III 102 consid. 2.2 p. 106, 136 consid. 1.4 p. 140). Il n'est pas lié par l'argumentation des parties ( art. 63 al. 1 OJ ) et il apprécie librement la portée juridique des faits (art. 43 al. 4, 63 al. 3 OJ); néanmoins, d'ordinaire, il se prononce seulement sur les questions juridiques que la partie recourante soulève conformément aux exigences de l' art. 55 al. 1 let . c OJ concernant la motivation du recours ( ATF 117 II 199 consid. 1 p. 200; 116 II 92 consid. 2 p. 94).</w:t>
      </w:r>
    </w:p>
    <w:p>
      <w:r>
        <w:rPr>
          <w:b/>
        </w:rPr>
        <w:t>E. 3</w:t>
      </w:r>
    </w:p>
    <w:p>
      <w:r>
        <w:t>Les parties ayant conclu un contrat d'architecte limité à l'établissement des plans et des autres documents nécessaires à une procédure d'autorisation de construire, leur relation est soumise aux règles du contrat d'entreprise selon l' art. 363 CO ( ATF 123 III 543 consid. 2a p. 545). Retenue dans les deux instances cantonales, cette qualification n'est pas contestée. Le demandeur a ainsi livré, en janvier 2004, un ouvrage qui consistait surtout dans les plans des transformations à effectuer dans la villa concernée.</w:t>
      </w:r>
    </w:p>
    <w:p>
      <w:r>
        <w:rPr>
          <w:b/>
        </w:rPr>
        <w:t>E. 4</w:t>
      </w:r>
    </w:p>
    <w:p>
      <w:r>
        <w:t>Aux termes des art. 367 al. 1 et 370 CO , le maître doit vérifier l'état de l'ouvrage dont il a reçu livraison, cela aussitôt qu'il le peut d'après la marche habituelle des affaires, et, s'il y a lieu, en signaler les défauts à l'entrepreneur (art. 367 al. 1). Si le maître omet la vérification ou l'avis, il est censé avoir accepté l'ouvrage avec les défauts qu'il aurait pu constater et signaler (art. 370 al. 2). Si des défauts ne se manifestent que plus tard, le maître doit les signaler aussitôt qu'il en a connaissance; sinon, l'ouvrage est tenu pour accepté avec eux également (art. 370 al. 3). L'entrepreneur est déchargé de toute responsabilité en raison des défauts acceptés (art. 370 al. 1); par suite des autres défauts, régulièrement signalés, le maître peut exercer les droits qui lui sont conférés par l' art. 368 CO . Selon les cas, le maître peut résoudre le contrat, faire réparer l'ouvrage ou obtenir une réduction du prix. Pour le surplus, l'existence d'un défaut ne fait pas obstacle à la livraison de l'ouvrage ni à l'exigibilité du prix (Peter Gauch et Benoît Carron, Le contrat d'entreprise, Zurich 1999, p. 332 ch. 1155). Cette réglementation est dispositive et il est loisible aux parties de convenir que le maître pourra se prévaloir d'éventuels défauts selon des modalités moins rigoureuses (François Chaix, Commentaire romand, ch. 30 ad art. 367 CO ; Pierre Tercier, Les contrats spéciaux, 3e éd., ch. 4123 p. 602). Ainsi, la norme SIA 102 prévoit que les défauts peuvent faire l'objet d'une réclamation pendant les deux premières années suivant la réception de l'ouvrage par le maître; plus tard, ils doivent faire l'objet d'une réclamation immédiate dès leur découverte (ch. 1.11.21). La norme SIA 102 est applicable à la relation entre le maître et l'architecte, partiellement ou en totalité, dans la mesure où elle est incorporée au contrat par une clause de celui-ci (Peter Gauch, Vom Architekturvertrag, seiner Qualifikation und der SIA-Ordnung 102, in Le droit de l'architecte, 3e éd., Fribourg 1995, p. 24 ch. 62). En l'espèce, la contestation porte notamment sur le point de savoir si, conformément à la thèse du demandeur, ce texte était incorporé au contrat.</w:t>
      </w:r>
    </w:p>
    <w:p>
      <w:r>
        <w:rPr>
          <w:b/>
        </w:rPr>
        <w:t>E. 5</w:t>
      </w:r>
    </w:p>
    <w:p>
      <w:r>
        <w:t>Selon l' art. 1 al. 1 et 2 CO , le contrat est conclu lorsque les parties ont manifesté leur volonté de manière réciproque et concordante (al. 1); cette manifestation peut être expresse ou tacite (al. 2). Il a pour contenu tous les points sur lesquels les parties ont ainsi exprimé leur accord (Bénédict Winiger, Commentaire romand, ch. 8 et 9 ad art. 18 CO ; Wolfgang Wiegand, Commentaire bâlois, 3e éd., ch. 10 ad art. 18 CO ). Les manifestations de volonté tacites comprennent notamment les actes concluants, c'est-à-dire ceux dont l'accomplissement implique une certaine volonté relative à la relation des parties (François Dessemontet, Commentaire romand, ch. 35 ad art. 1 CO ; Eugen Bucher, Commentaire bâlois, ch. 17 et 18 ad art. 1 CO ). En l'occurrence, les parties ont conclu un contrat résultant de deux accords successifs; le premier portait sur la réalisation et la livraison d'un ouvrage en contrepartie d'un prix; le deuxième a eu pour objet de fixer ce prix à 15'000 francs. Ces accords étaient oraux. D'après l'état de faits déterminant, les parties ne se sont fait aucune déclaration concernant l'éventuelle incorporation de la norme SIA 102. La Cour de justice a seulement constaté - mais le demandeur tient ces faits pour déterminants - que le défendeur s'est désigné en qualité d'architecte « EPFL SIA » sur deux factures adressées à ses clients, qu'il a établi une évaluation des coûts, y compris de ses propres honoraires, en se référant à une norme « SIA 2001 », et que l'une des formules standard du dossier d'autorisation de construire, imprimée à l'avance, remise par l'autorité et complétée par le défendeur, faisait également référence aux normes SIA. Les factures sont postérieures aux accords des parties et la formule du dossier n'était pas destinée à être analysée par les maîtres d'oeuvre. De toute façon, au regard du principe de la confiance qui détermine de quelle manière l'attitude d'une partie pouvait être comprise, de bonne foi, par l'autre partie (cf. ATF 132 III 24 consid. 4 p. 27/28), aucun des actes du défendeur ne se prêtait à être perçu comme impliquant la volonté de faire intervenir la norme SIA 102 dans sa relation avec ses clients. Il n'y a donc eu ni offre ni acceptation à ce sujet. En conséquence, contrairement à l'opinion du demandeur, la Cour de justice retient à bon droit que la norme SIA 102 est étrangère au contrat.</w:t>
      </w:r>
    </w:p>
    <w:p>
      <w:r>
        <w:rPr>
          <w:b/>
        </w:rPr>
        <w:t>E. 6</w:t>
      </w:r>
    </w:p>
    <w:p>
      <w:r>
        <w:t>L'avis des défauts, avis auquel les droits du maître sont subordonnés selon les art. 367 al. 1 et 370 CO , est une déclaration libre de forme qui doit être adressée à l'entrepreneur immédiatement après la découverte des défauts (Chaix, op. cit., ch. 21, 28 et 29 ad art. 367 CO ; Tercier, op. cit., ch. 4135 et 4137 p. 604). La Cour de justice constate que le défendeur n'a pas été averti des défauts allégués par le demandeur autrement que par le mémoire introductif de l'action en libération de dette. Elle ne constate pas à quelle date ces défauts ont été censément découverts. Quoi qu'il en soit, en raison du délai qui sépare nécessairement la découverte du défaut, la rédaction du mémoire introductif d'instance, son dépôt au greffe de l'autorité de conciliation et sa transmission à la partie défenderesse, ce mode de communication n'est pas adéquat pour signaler immédiatement à l'entrepreneur les défauts de l'ouvrage qu'il a livré. Dans ces conditions, conformément au jugement de la Cour, les éventuels défauts ne peuvent pas justifier le refus du demandeur de payer le prix convenu. Il n'est pas nécessaire de vérifier si la Cour était aussi fondée à tenir l'ouvrage pour exempt de tout défaut; en particulier, il n'y a pas lieu d'examiner le grief d'inadvertance manifeste que le demandeur développe sur ce point.</w:t>
      </w:r>
    </w:p>
    <w:p>
      <w:r>
        <w:rPr>
          <w:b/>
        </w:rPr>
        <w:t>E. 7</w:t>
      </w:r>
    </w:p>
    <w:p>
      <w:r>
        <w:t>Aux termes de l' art. 82 CO , celui qui poursuit l'exécution d'un contrat bilatéral doit avoir exécuté ou doit offrir d'exécuter sa propre obligation. Sur la base de cette disposition, le demandeur soutient que le prix de l'ouvrage n'est pas exigible tant que le défendeur n'offre pas un support de données contenant les fichiers informatiques des plans. En fournissant des plans dessinés sur papier, le défendeur a exécuté son obligation de livrer le résultat de son activité intellectuelle sous une forme concrète (Philippe Abravanel, Les devoirs généraux de l'architecte, in Le droit de l'architecte, ch. 329 p. 105). Selon les constatations de la Cour de justice, les parties n'ont pas convenu que les plans seraient de plus fournis sous forme de données informatiques; par conséquent, il s'agit là encore d'un point étranger au contrat, d'où il résulte que l' art. 82 CO n'est d'aucun secours au demandeur.</w:t>
      </w:r>
    </w:p>
    <w:p>
      <w:r>
        <w:rPr>
          <w:b/>
        </w:rPr>
        <w:t>E. 8</w:t>
      </w:r>
    </w:p>
    <w:p>
      <w:r>
        <w:t>Le recours en réforme se révèle privé de fondement, ce qui conduit à son rejet. A titre de partie qui succombe, son auteur doit acquitter l'émolument judiciaire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