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4C.366/2004 vom 4. November 2005</w:t>
      </w:r>
    </w:p>
    <w:p>
      <w:r>
        <w:t>Bundesgericht, 2005-11-04, FR</w:t>
      </w:r>
    </w:p>
    <w:p>
      <w:r>
        <w:rPr>
          <w:b/>
        </w:rPr>
        <w:t xml:space="preserve">Quelle: </w:t>
      </w:r>
      <w:r>
        <w:t>https://mcp.opencaselaw.ch/entscheid/bger_4C.366_2004</w:t>
      </w:r>
    </w:p>
    <w:p>
      <w:r>
        <w:t>FR: TF 4C.366/2004 du 4 novembre 2005</w:t>
      </w:r>
    </w:p>
    <w:p>
      <w:r>
        <w:t>IT: TF 4C.366/2004 del 4 novembre 2005</w:t>
      </w:r>
    </w:p>
    <w:p>
      <w:pPr>
        <w:pStyle w:val="Heading2"/>
      </w:pPr>
      <w:r>
        <w:t>Erwägungen</w:t>
      </w:r>
    </w:p>
    <w:p>
      <w:r>
        <w:rPr>
          <w:b/>
        </w:rPr>
        <w:t>E. 1.1</w:t>
      </w:r>
    </w:p>
    <w:p>
      <w:r>
        <w:t>Interjeté par le demandeur, qui a succombé dans ses conclusions condamnatoires, et dirigé contre une décision finale rendue en dernière instance cantonale par un tribunal supérieur ( art. 48 al. 1 OJ ) sur une contestation civile (cf. ATF 129 III 415 consid. 2.1)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Dans la mesure où les parties présentent certains faits qui ne figurent pas dans la décision attaquée, sans se prévaloir avec précision de l'une des exceptions qui viennent d'être rappelées, il n'en sera pas tenu compte.</w:t>
      </w:r>
    </w:p>
    <w:p>
      <w:r>
        <w:rPr>
          <w:b/>
        </w:rPr>
        <w:t>E. 2</w:t>
      </w:r>
    </w:p>
    <w:p>
      <w:r>
        <w:t>En l'état, la qualification juridique de la relation contractuelle liant le demandeur à la société de gestion n'est pas remise en cause: il s'agit d'un mandat.</w:t>
      </w:r>
    </w:p>
    <w:p>
      <w:r>
        <w:t>A cet égard, la cour cantonale a admis la violation d'une obligation contractuelle, par manquement des devoirs de fidélité et d'information de la société de gestion, de même que l'existence d'un dommage. En revanche, elle a exclu toute relation de causalité entre le manquement en question et la diminution de fortune du demandeur.</w:t>
      </w:r>
    </w:p>
    <w:p>
      <w:r>
        <w:t>Le demandeur fait grief à la cour cantonale d'avoir nié la relation de causalité adéquate entre les carences de l'information de la société de gestion et le dommage subi.</w:t>
      </w:r>
    </w:p>
    <w:p>
      <w:r>
        <w:rPr>
          <w:b/>
        </w:rPr>
        <w:t>E. 2.1</w:t>
      </w:r>
    </w:p>
    <w:p>
      <w:r>
        <w:t>Selon la jurisprudence constante du Tribunal fédéral, il y a lieu de distinguer entre la causalité naturelle et la causalité adéquate même si la violation d'une obligation contractuelle est imputable à une omission. Pour retenir une causalité naturelle en cas d'omission, il faut admettre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Les constatations de la juridiction cantonale sur le rapport de causalité naturelle lient le Tribunal fédéral conformément à l' art. 63 al. 2 OJ . Cela est également valable pour la causalité en matière d'omission et les assertions hypothétiques qui s'y rattachent. Ne font exception que les déductions reposant uniquement sur l'expérience générale de la vie, lesquelles peuvent être revues par la juridiction fédérale de réforme (arrêt 4C.45/2001 du 31 août 2001, SJ 2002 I 274, consid. 4c; ATF 127 III 453 consid. 5d; 122 IV 17 consid. 2c; 115 II 440 consid. 5a et 5b; voir aussi ATF 129 III 129 consid. 8).</w:t>
      </w:r>
    </w:p>
    <w:p>
      <w:r>
        <w:t>Cependant, il y a violation du droit fédéral si le juge n'impute pas correctement le fardeau de la preuve du rapport de causalité naturelle, fardeau qui incombe au mandant (Walter Fellmann, Commentaire bernois, n. 460 ad art. 398 CO ), s'il ignore l'exigence de la causalité naturelle ou encore s'il donne un sens erroné à cette notion juridique (arrêt 5C. 125/2003 du 31 octobre 2003, SJ 2004 I 407 consid. 2.2; arrêt 4C.71/2001 du 30 mai 2001, consid. 5c; Bernard Corboz, Le recours en réforme au Tribunal fédéral, SJ 2000 II p. 1 ss, 62).</w:t>
      </w:r>
    </w:p>
    <w:p>
      <w:r>
        <w:rPr>
          <w:b/>
        </w:rPr>
        <w:t>E. 2.2</w:t>
      </w:r>
    </w:p>
    <w:p>
      <w:r>
        <w:t>En l'occurrence, la cour cantonale a admis, en se fondant sur les constatations de fait et les éléments de preuve dont elle disposait, notamment sur les renseignements fournis par les experts judiciaires, et en distinguant deux périodes - celle allant de fin 1989 à fin 1990 et celle concernant l'année 1991 - que, pour la première d'entre elles, le demandeur, par son attitude, a accepté la gestion telle qu'elle était pratiquée jusque-là par la société de gestion. Elle a constaté que, même en cas d'informations plus soutenues, le demandeur n'aurait pas ordonné la cessation des opérations, puisqu'il avait consenti à cette spéculation agressive. Elle s'est principalement appuyée sur la fréquence des échanges de télécopies et la réaction du demandeur face aux annonces successives de baisse de performance. On se trouve donc ici dans le domaine de la constatation des faits et de l'appréciation des preuves, qui est exorbitant de la procédure du recours en réforme.</w:t>
      </w:r>
    </w:p>
    <w:p>
      <w:r>
        <w:t>Quant à la seconde période, l'autorité cantonale a cherché à savoir si, à supposer que le demandeur eût satisfait à son devoir d'information, le dommage eût pu être évité. Après avoir constaté l'absence d'allégation du demandeur sur une éventuelle réaction immédiate consécutive à l'information d'une perte de 90% du capital, communiquée le 19 avril 1991, telle qu'alléguée par le demandeur, elle a relevé, non sans avoir discuté de la teneur des télécopies échangées durant cette période, que rien ne permettait de penser que si le demandeur avait reçu des informations plus fréquentes ou complètes, il aurait, à un moment donné, décidé de tout arrêter. Ces considérations, qui ne consistent pas en de simples déductions reposant uniquement sur l'expérience générale de la vie, mais qui, au contraire, s'appuient sur les circonstances concrètes du cas particulier, lient le Tribunal fédéral.</w:t>
      </w:r>
    </w:p>
    <w:p>
      <w:r>
        <w:t>En outre, même si elle n'use pas expressément du terme de causalité naturelle, la cour cantonale n'a en rien ignoré cette notion, puisqu'elle s'est demandée dans quelle mesure l'omission reprochée à la société de gestion se trouvait dans une relation de cause à effet avec le dommage invoqué. Il en découle que le Tribunal fédéral, saisi d'un recours en réforme, est lié par une telle constatation portant sur l'absence de causalité naturelle, de sorte que les critiques formulées par le demandeur, à ce propos, ne sont pas recevables.</w:t>
      </w:r>
    </w:p>
    <w:p>
      <w:r>
        <w:t>L'une des conditions cumulatives de la responsabilité contractuelle ayant été exclue d'une manière qui lie la juridiction fédérale de réforme, il n'est pas nécessaire d'examiner si les autres conditions de cette responsabilité sont ou non réalisées, ainsi que le soutient la société de gestion, en lien notamment avec la notion du dommage.</w:t>
      </w:r>
    </w:p>
    <w:p>
      <w:r>
        <w:rPr>
          <w:b/>
        </w:rPr>
        <w:t>E. 3</w:t>
      </w:r>
    </w:p>
    <w:p>
      <w:r>
        <w:t>En ce qui concerne la banque, il est constant qu'outre le mandat de gestion limité aux placements fiduciaires à elle confié, la relation bancaire la liant au demandeur relève des règles relatives au dépôt et au mandat.</w:t>
      </w:r>
    </w:p>
    <w:p>
      <w:r>
        <w:t>En substance, le demandeur invoque une violation de l'obligation d'information de la banque. Il rattache cette obligation à un rapport particulier de confiance, qui liait les parties en raison des relations que chacune d'elles entretenait avec B.________. Selon le demandeur, le rapport de confiance en question aurait été renforcé, une fois le transfert des fonds effectué auprès de la banque, par le fait que les quelques correspondances à lui adressées provenaient du système informatique et du télécopieur de ladite banque, dont B.________ était le directeur adjoint. Il fait également état du système informatique déficient de la banque.</w:t>
      </w:r>
    </w:p>
    <w:p>
      <w:r>
        <w:rPr>
          <w:b/>
        </w:rPr>
        <w:t>E. 3.1</w:t>
      </w:r>
    </w:p>
    <w:p>
      <w:r>
        <w:t>Selon la jurisprudence,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s'il apparaît qu'il n'a aucune idée des risques qu'il court, la banque doit toutefois l'y rendre attentif. Le devoir de fidélité n'impose pas non plus à la banque chargée d'exécuter des ordres déterminés de conseiller spontanément le client sur les développements probables des investissements choisis et sur les mesures à prendre pour limiter les risques ( ATF 119 II 333 consid. 5 et 7; arrêt 4C.45/2001 du 31 août 2001, SJ 2002 I 274 ss, consid. 4a et l'arrêt 4C.410/1997 du 23 juin 1998, SJ 1999 I 205 ss, consid. 3b).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SJ 1998 I p. 198 ss, consid. 6a). En d'autres termes, le banquier n'est pas le tuteur de son client et il doit en principe exécuter les ordres licites qui lui sont donnés (arrêt 4C.108/2002 du 23 juillet 2002 consid. 2b, Pra 2003 no 51 p. 244; arrêt 4C.24/1993 du 14 décembre 1993, SJ 1994 I 284 ss consid. 3b).</w:t>
      </w:r>
    </w:p>
    <w:p>
      <w:r>
        <w:t>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n'a rien demandé ( ATF 124 III 155 consid. 3a et arrêt reproduit in: SJ 1999 I 205 consid. 3b; Rolf H. Weber, Commentaire Bâlois, n. 29 ad art. 398 CO ; voir aussi, Franz Werro, Commentaire romand, n. 13, 17 et 19 ad art. 398 CO ).</w:t>
      </w:r>
    </w:p>
    <w:p>
      <w:r>
        <w:rPr>
          <w:b/>
        </w:rPr>
        <w:t>E. 3.2</w:t>
      </w:r>
    </w:p>
    <w:p>
      <w:r>
        <w:t>Dans les circonstances de l'espèce, la position soutenue par le demandeur en lien avec l'existence d'un rapport particulier de confiance existant entre lui-même et la banque ne peut être suivie. En effet, un tel rapport ne saurait être déduit des seules fonctions dirigeantes exercées par B.________ tant au sein de la société de gestion que de la banque, puis du transfert des fonds du demandeur auprès de celle-ci. A cet égard, il ne faut pas perdre de vue que B.________ n'a pas géré les avoirs du demandeur en sa qualité de sous-directeur, puis de directeur adjoint de la banque, mais bien de directeur de la société de gestion, laquelle était liée au demandeur par un mandat de gestion de fortune. Par ailleurs, alors même que les courriers et télécopies de B.________ émanaient des bureaux de la banque, il a été clairement constaté qu'ils étaient signés en son propre nom et non pas au nom de la banque. En outre, l'existence d'une relation d'affaires durable entre les parties, propre à justifier une mise en garde particulière fondée sur les règles de la bonne foi, n'a pas été établie.</w:t>
      </w:r>
    </w:p>
    <w:p>
      <w:r>
        <w:t>Au demeurant, rien ne permet de retenir que la banque aurait d'une autre manière manqué à son devoir d'information. En effet, selon les constatations de la cour cantonale, le demandeur connaissait les mécanismes du marché financier, dont notamment les opérations sur produits dérivés, et n'ignorait pas non plus ses potentiels de gains et ses risques de pertes. Il a également été retenu que les opérations de gestion - limitée - confiées à la banque ont généré un bénéfice, sauvegardant par là-même les intérêts du demandeur, et que le système informatique de la banque était suffisant et dans la norme de ce qui se faisait à l'époque, contrairement à ce que soutient le demandeur - qui se heurte sur ce point aux circonstances de fait constatées souverainement par la cour cantonale.</w:t>
      </w:r>
    </w:p>
    <w:p>
      <w:r>
        <w:t>C'est ainsi à bon droit que la cour cantonale a retenu que la banque n'avait pas à intervenir spontanément pour rendre son client attentif aux risques et aux pertes subies en relation avec les activités de la société de gestion, d'une part, ou le conseiller sur ses investissements, d'autre part.</w:t>
      </w:r>
    </w:p>
    <w:p>
      <w:r>
        <w:t>L'un des éléments qui aurait permis de fonder la responsabilité de la banque faisant défaut, il n'y a pas lieu d'examiner au surplus les développements présentés dans le recours concernant la réalisation des autres conditions d'une telle action.</w:t>
      </w:r>
    </w:p>
    <w:p>
      <w:r>
        <w:rPr>
          <w:b/>
        </w:rPr>
        <w:t>E. 3.3</w:t>
      </w:r>
    </w:p>
    <w:p>
      <w:r>
        <w:t>A supposer que B.________ ait agi en qualité d'organe de la banque et qu'ainsi le manquement commis par lui soit imputable à celle-ci, la condition du lien de causalité entre ledit manquement et le dommage n'a pas été établi à satisfaction. Ce résultat scelle le sort du litige quant à l'argumentation confuse du demandeur fondée sur la responsabilité de l'organe d'une personne morale, au sens de l' art. 55 CC .</w:t>
      </w:r>
    </w:p>
    <w:p>
      <w:r>
        <w:rPr>
          <w:b/>
        </w:rPr>
        <w:t>E. 3.4</w:t>
      </w:r>
    </w:p>
    <w:p>
      <w:r>
        <w:t>En définitive, les moyens soulevés par le demandeur se rapportant à la banque ne peuvent être que rejetés, dans la mesure de leur recevabilité.</w:t>
      </w:r>
    </w:p>
    <w:p>
      <w:r>
        <w:rPr>
          <w:b/>
        </w:rPr>
        <w:t>E. 4</w:t>
      </w:r>
    </w:p>
    <w:p>
      <w:r>
        <w:t>Compte tenu de l'issue du litige, le demandeur acquittera l'émolument judiciaire et les dépens à allouer aux défenderesses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