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4C.365/2005 vom 8. Februar 2006</w:t>
      </w:r>
    </w:p>
    <w:p>
      <w:r>
        <w:t>Bundesgericht, 2006-02-08, FR</w:t>
      </w:r>
    </w:p>
    <w:p>
      <w:r>
        <w:rPr>
          <w:b/>
        </w:rPr>
        <w:t xml:space="preserve">Quelle: </w:t>
      </w:r>
      <w:r>
        <w:t>https://mcp.opencaselaw.ch/entscheid/bger_4C.365_2005</w:t>
      </w:r>
    </w:p>
    <w:p>
      <w:r>
        <w:t>FR: TF 4C.365/2005 du 8 février 2006</w:t>
      </w:r>
    </w:p>
    <w:p>
      <w:r>
        <w:t>IT: TF 4C.365/2005 del 8 febbraio 2006</w:t>
      </w:r>
    </w:p>
    <w:p>
      <w:pPr>
        <w:pStyle w:val="Heading2"/>
      </w:pPr>
      <w:r>
        <w:t>Regeste</w:t>
      </w:r>
    </w:p>
    <w:p>
      <w:r>
        <w:t>contrat de travail; congé immédiat | Droit des contrats</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 art. 54 al. 1 OJ )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Dans un premier grief, la défenderesse se plaint d'une violation de l' art. 343 al. 4 CO , qui prévoit la maxime inquisitoire dans les litiges résultant du contrat de travail dont la valeur litigieuse est inférieure à 30'000 fr. Cette disposition n'est toutefois pas applicable en l'espèce, dès lors que la valeur litigieuse, correspondant au montant des conclusions au moment de l'ouverture de l'action ( art. 343 al. 2 CO ; ATF 115 II 30 consid. 5b p. 41) et non, comme le soutient la défenderesse, de celles encore litigieuses devant le Tribunal fédéral, est supérieure à 30'000 fr.</w:t>
      </w:r>
    </w:p>
    <w:p>
      <w:r>
        <w:rPr>
          <w:b/>
        </w:rPr>
        <w:t>E. 3</w:t>
      </w:r>
    </w:p>
    <w:p>
      <w:r>
        <w:t>Invoquant ensuite les art. 43 al. 3 et 63 al. 2 OJ, la défenderesse s'en prend aux constatations de fait de la cour cantonale, dans la mesure où des dispositions fédérales en matières de preuve auraient été violées. L'on ne voit toutefois pas quelle disposition de ce type aurait été méconnue et la démarche de la défenderesse, qui n'est qu'un moyen de plus pour contester les constatations de fait et l'appréciation des preuves dont elle n'est pas parvenue à démontrer l'arbitraire dans son recours de droit public, est vaine.</w:t>
      </w:r>
    </w:p>
    <w:p>
      <w:r>
        <w:rPr>
          <w:b/>
        </w:rPr>
        <w:t>E. 4</w:t>
      </w:r>
    </w:p>
    <w:p>
      <w:r>
        <w:t>Dans deux griefs distincts, la défenderesse invoque encore les art. 63 al. 2 et 64 al. 1 OJ et fait valoir - à titre subsidiaire - que la cour cantonale aurait commis une inadvertance manifeste et qu'il y aurait lieu de compléter l'état de fait de l'arrêt entrepris. Sous le couvert des dispositions citées, elle s'en prend en réalité derechef à l'établissement des faits et à l'appréciation des preuves à laquelle se sont livrés les juges cantonaux, ce qui n'est pas admissible dans la procédure du recours en réforme.</w:t>
      </w:r>
    </w:p>
    <w:p>
      <w:r>
        <w:rPr>
          <w:b/>
        </w:rPr>
        <w:t>E. 5</w:t>
      </w:r>
    </w:p>
    <w:p>
      <w:r>
        <w:t>La défenderesse plaide ensuite que les juges cantonaux auraient violé l' art. 55 CC , qui dispose que la volonté d'une personne morale s'exprime par ses organes (al. 1) et que ceux-ci obligent celle-là par leurs actes juridiques et par tous autres faits (al. 2). Elle estime que pour admettre, comme l'ont fait les juges cantonaux, que les instructions de C.________ valaient instructions de X.________ SA, il faudrait que celui-ci ait agi pour la société et non comme particulier. Il ressortirait clairement du dossier que C.________ avait fait la demande litigieuse dans le cadre de son conflit avec B.________, ce dont le demandeur était parfaitement conscient. Dans la mesure où l'argumentation de la défenderesse repose sur sa propre version des choses et non sur les faits ressortant de l'état de fait déterminant, elle est irrecevable dans un recours en réforme. Pour le surplus, la défenderesse semble confondre la question du pouvoir d'engager la société vis-à-vis des tiers et de donner des instructions à ses employés. Or, en l'espèce, il a été établi que le demandeur, s'il était hiérarchiquement subordonné à D.________, recevait pour l'essentiel ses ordres de B.________ et C.________, que, par ailleurs, aucune directive particulière n'avait été édictée après le début du conflit opposant B.________ à C.________ et, enfin, que celui-ci avait le droit d'obtenir les listes litigieuses. En définitive, l'on ne voit pas trace de violation de l' art. 55 CC .</w:t>
      </w:r>
    </w:p>
    <w:p>
      <w:r>
        <w:rPr>
          <w:b/>
        </w:rPr>
        <w:t>E. 6</w:t>
      </w:r>
    </w:p>
    <w:p>
      <w:r>
        <w:t>La défenderesse reproche enfin à la cour cantonale d'avoir violé les art. 337 et 337c CO , dans la mesure où elle n'avait pas retenu une violation du devoir de fidélité du demandeur et, partant, de justes motifs de résiliation immédiate du contrat de travail.</w:t>
      </w:r>
    </w:p>
    <w:p>
      <w:r>
        <w:rPr>
          <w:b/>
        </w:rPr>
        <w:t>E. 6.1</w:t>
      </w:r>
    </w:p>
    <w:p>
      <w:r>
        <w:t>Selon l' art. 337 al. 1 1 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28 consid. 4.1 p. 31, 213 consid. 3.1 p. 220; 127 III 351 consid. 4a p. 353).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en règle générale la violation d'une obligation découlant du contrat de travail ( ATF 130 III 28 consid. 4.1 p. 31; 127 III 351 consid. 4a p. 354), comme par exemple le devoir de fidélité ( ATF 127 III 351 consid. 4a p. 354; 121 III 467 consid. 4d).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 C'est à l'employeur qui entend se prévaloir de justes motifs de licenciement immédiat de démontrer leur existence (arrêt 4C.298/2005 du 3 janvier 2006, consid. 3.1; cf. également Brunner/Bühler/Waeber/ Bruchez, Commentaire du contrat de travail, 3e éd., Lausanne 2004, n. 13 ad art. 337 CO ).</w:t>
      </w:r>
    </w:p>
    <w:p>
      <w:r>
        <w:rPr>
          <w:b/>
        </w:rPr>
        <w:t>E. 6.2</w:t>
      </w:r>
    </w:p>
    <w:p>
      <w:r>
        <w:t>Dans les grandes lignes, la défenderesse se limite à critiquer chacun des éléments retenus par la cour cantonale pour parvenir à la conclusion que le demandeur n'avait pas violé son devoir de fidélité et, par conséquent, qu'il n'existait pas de justes motifs de résiliation immédiate de son contrat de travail, avant de présenter sa propre version des événements et de proposer une solution opposée à celle retenue par les juges cantonaux. Dans cette mesure, l'argumentation de la défenderesse, qui revient à une nouvelle remise en cause des constatations de fait et de l'appréciation des preuves, revêt un caractère appellatoire manifeste et n'a pas sa place dans un recours en réforme. En définitive, la défenderesse ne parvient pas à démontrer l'existence de justes motifs de résiliation immédiate du contrat de travail qui la liait au demandeur. Pour le surplus, l'on ne voit pas que, sur la base des faits retenus, la cour cantonale ait outrepassé le pouvoir d'appréciation dont elle dispose en la matière et, partant, violé l' art. 337 CO en jugeant que la défenderesse n'était pas fondée à résilier le contrat de travail du demandeur avec effet immédiat.</w:t>
      </w:r>
    </w:p>
    <w:p>
      <w:r>
        <w:rPr>
          <w:b/>
        </w:rPr>
        <w:t>E. 6.3</w:t>
      </w:r>
    </w:p>
    <w:p>
      <w:r>
        <w:t>Formellement, la défenderesse se plaint d'une violation de l' art. 337c CO . Elle ne fait toutefois que remettre en cause le principe de l'allocation, au demandeur, de sommes consécutives à une résiliation immédiate injustifiée, puisqu'elle estime avoir eu de justes motifs de procéder de la sorte. Elle n'en conteste toutefois pas les montants dans une motivation subsidiaire, de sorte que la Cour de céans n'a pas à y revenir (art. 55 al. 1 let. b et c OJ).</w:t>
      </w:r>
    </w:p>
    <w:p>
      <w:r>
        <w:rPr>
          <w:b/>
        </w:rPr>
        <w:t>E. 7</w:t>
      </w:r>
    </w:p>
    <w:p>
      <w:r>
        <w:t>Il résulte des considérants qui précèdent que le recours doit être rejeté dans la mesure de sa recevabilité.</w:t>
      </w:r>
    </w:p>
    <w:p>
      <w:r>
        <w:rPr>
          <w:b/>
        </w:rPr>
        <w:t>E. 8</w:t>
      </w:r>
    </w:p>
    <w:p>
      <w:r>
        <w:t>Comme la valeur litigieuse, selon les prétentions du demandeur à l'ouverture de l'action ( ATF 115 II 30 consid. 5b p. 41), dépasse 30'000 fr., la procédure n'est pas gratuite ( art. 343 al. 2 et 3 CO ).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