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4C.365/1999 vom 11. Januar 2000</w:t>
      </w:r>
    </w:p>
    <w:p>
      <w:r>
        <w:t>Bundesgericht, 2000-01-11, DE</w:t>
      </w:r>
    </w:p>
    <w:p>
      <w:r>
        <w:rPr>
          <w:b/>
        </w:rPr>
        <w:t xml:space="preserve">Quelle: </w:t>
      </w:r>
      <w:r>
        <w:t>https://mcp.opencaselaw.ch/entscheid/bger_4C.365_1999</w:t>
      </w:r>
    </w:p>
    <w:p>
      <w:r>
        <w:t>FR: TF 4C.365/1999 du 11 janvier 2000</w:t>
      </w:r>
    </w:p>
    <w:p>
      <w:r>
        <w:t>IT: TF 4C.365/1999 del 11 gennaio 2000</w:t>
      </w:r>
    </w:p>
    <w:p>
      <w:pPr>
        <w:pStyle w:val="Heading2"/>
      </w:pPr>
      <w:r>
        <w:t>Regeste</w:t>
      </w:r>
    </w:p>
    <w:p>
      <w:r>
        <w:t>Vertragsrecht</w:t>
      </w:r>
    </w:p>
    <w:p>
      <w:pPr>
        <w:pStyle w:val="Heading2"/>
      </w:pPr>
      <w:r>
        <w:t>Erwägungen</w:t>
      </w:r>
    </w:p>
    <w:p>
      <w:r>
        <w:rPr>
          <w:b/>
        </w:rPr>
        <w:t>E. 1</w:t>
      </w:r>
    </w:p>
    <w:p>
      <w:r>
        <w:t>Der Beklagte macht geltend, das Obergericht hätte den Umfang seiner Haftung angesichts des geringen Verschuldens reduzieren müssen. a) Nach der Rechtsprechung des Bundesgerichts kann eine Haftungsreduktion gemäss Art. 43 Abs. 1 OR in der Regel nur jenem Schädiger gewährt werden, dem bloss leichte Fahrlässigkeit zur Last fällt ( BGE 96 II 172 E. 3a; 92 II 234 E. 3b S. 240; 91 II 291 E. 4b S. 297 mit weiteren Hinweisen; Urteil vom 20. Juni 1994, in: SJ, 1995 S. 97). Massgebend ist dabei allein das Verschulden des Belangten. Ein mitwirkendes Drittverschulden stellt keinen Grund zur Haftungsreduktion dar ( BGE 113 II 323 E. 2b S. 331), sofern es nicht einer Hilfsperson des Geschädigten anzulasten ist, deren Verhalten sich dieser gemäss Art. 101 Abs. 1 OR anrechnen lassen muss und für das er nach Art. 44 Abs. 1 OR einzustehen hat ( BGE 119 II 127 E. 4a S. 130; 95 II 43 E. 4c S. 53f). Eine weitergehende Berücksichtigung des Drittverschuldens wäre mit dem Grundsatz der solidarischen Haftung mehrerer Schädiger ( Art. 50 OR ) nicht vereinbar, sofern das Drittverschulden nicht derart schwerwiegend ist, dass es den Kausalzusammenhang unterbricht ( BGE 116 II 519 E. 4b S. 524). b) Das Bezirksgericht nahm in seinem Entscheid ausführlich zum Verhalten des Beklagten Stellung und kam zum Schluss, dass dieser eventualvorsätzlich gehandelt habe. Eventualvorsatz ist gegeben, wenn der Täter den Schaden als möglich voraussieht, aber gleichwohl handelt, weil er den schädigenden Erfolg seines Verhaltens in Kauf nimmt. Für den Fall, dass der Schaden eintreten sollte, findet er sich damit ab ( BGE 120 IV 190 E. 2b, S. 193 mit Hinweis). Der Beklagte gesteht selbst zu, seine Überwachungspflichten vernachlässigt zu haben. Er sorgte nicht dafür, dass die "stop loss order" eingehalten wurde. Das Bezirksgericht stellt in seinem Entscheid fest, der Beklagte habe gewusst, dass die Verkäufer die kaum kontrollierbaren "stop loss orders" lediglich als Verkaufsargument nutzten und so den Kläger bewusst irreführten. Er liess die Geschäfte von Personen führen, die diesbezüglich keine hinreichende Ausbildung besassen. Gerade unter diesen Umständen hätte er die Angestellten umso sorgfältiger überwachen müssen. Mit dem Obergericht ist das Verhalten des Beklagten als eventualvorsätzlich zu bezeichnen. Von geringer Fahrlässigkeit kann keine Rede sein. Damit fällt in Bezug auf das Verschulden eine Haftungsreduktion nach Art. 43 OR ausser Betracht. Ein allfälliges mitwirkendes Drittverschulden der Angestellten bleibt aus den dargelegten Gründen unbeachtlich.</w:t>
      </w:r>
    </w:p>
    <w:p>
      <w:r>
        <w:rPr>
          <w:b/>
        </w:rPr>
        <w:t>E. 2</w:t>
      </w:r>
    </w:p>
    <w:p>
      <w:r>
        <w:t>Der Beklagte ruft neben dem geringen Verschulden weitere Reduktionsgründe nach Art. 43 OR an, die das Obergericht nicht berücksichtigt habe. Er zählt zwar in der Berufung die verschiedenen Aspekte auf, die er berücksichtigt wissen will (Zufall, finanzielle Aspekte, persönliches Umfeld und die heutige Situation des Beklagten), substanziiert jedoch in keiner Weise, inwiefern sie zu einer Verringerung der Haftung führen könnten. Obwohl das Kantonsgericht gewisse Vorbringen ausdrücklich als verspätet und zuwenig substanziiert zurückweist, legt der Beklagte zudem nicht dar, dass er die Vorbringen rechtzeitig, prozesskonform und hinreichend substanziiert im kantonalen Prozessverfahren einbrachte. Insofern kann auf die Berufung mangels hinreichender Begründung nicht eingetreten werden. Wohl wendet der Richter Art. 43 OR von Amtes wegen an ( BGE 111 II 156 E. 4 S. 161), dies entbindet die Parteien aber nicht davon, ihre tatsächlichen Behauptungen korrekt in den Prozess einzubringen. Soweit der Beklagte neue Tatsachen vorbringt oder von den tatsächlichen Feststellungen des Obergerichts abweichende Ausführungen macht, ist er damit in der Berufung nicht zu hören ( Art. 55 Abs. 1 lit. c OG ).</w:t>
      </w:r>
    </w:p>
    <w:p>
      <w:r>
        <w:rPr>
          <w:b/>
        </w:rPr>
        <w:t>E. 3</w:t>
      </w:r>
    </w:p>
    <w:p>
      <w:r>
        <w:t>a) Auch in Bezug auf die zweite Investitionstranche (Fr. 30'000.--) besteht kein Grund zu einer Haftungsreduktion nach Art. 43 Abs. 1 OR . Für diese Tranche vereinbarten die Parteien keine "stop loss order". Dies hat das Obergericht berücksichtigt und den Anspruch des Klägers wegen Einwilligung in das hohe Risiko um einen Viertel gekürzt. Nach den Feststellungen des Obergerichts unterliess es der Beklagte aber, den Kläger über die bisherigen Verluste zu informieren, worin das Obergericht eine Verletzung der geschäftlichen Kontroll- und Überwachungspflichten sieht. b) Weshalb diese Verletzung anders als in Bezug auf die erste Einlage (Fr. 100'000.--) zu gewichten sein soll, zeigt der Beklagte nicht auf. Er beschränkt sich auf die - unbegründete - Rüge, die Vorinstanz habe eine Verschuldensabwägung unterlassen. Ein Verstoss gegen Art. 43 OR ist mithin nicht ersichtlich. In den übrigen Punkten beanstandet der Beklagte den angefochtenen Entscheid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