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4C.364/2005 vom 12. Januar 2006</w:t>
      </w:r>
    </w:p>
    <w:p>
      <w:r>
        <w:t>Bundesgericht, 2006-01-12, DE</w:t>
      </w:r>
    </w:p>
    <w:p>
      <w:r>
        <w:rPr>
          <w:b/>
        </w:rPr>
        <w:t xml:space="preserve">Quelle: </w:t>
      </w:r>
      <w:r>
        <w:t>https://mcp.opencaselaw.ch/entscheid/bger_4C.364_2005</w:t>
      </w:r>
    </w:p>
    <w:p>
      <w:r>
        <w:t>FR: TF 4C.364/2005 du 12 janvier 2006</w:t>
      </w:r>
    </w:p>
    <w:p>
      <w:r>
        <w:t>IT: TF 4C.364/2005 del 12 gennaio 2006</w:t>
      </w:r>
    </w:p>
    <w:p>
      <w:pPr>
        <w:pStyle w:val="Heading2"/>
      </w:pPr>
      <w:r>
        <w:t>Regeste</w:t>
      </w:r>
    </w:p>
    <w:p>
      <w:r>
        <w:t>Arbeitsvertrag; fristlose Entlassung | Vertragsrecht</w:t>
      </w:r>
    </w:p>
    <w:p>
      <w:pPr>
        <w:pStyle w:val="Heading2"/>
      </w:pPr>
      <w:r>
        <w:t>Erwägungen</w:t>
      </w:r>
    </w:p>
    <w:p>
      <w:r>
        <w:rPr>
          <w:b/>
        </w:rPr>
        <w:t>E. 1.1</w:t>
      </w:r>
    </w:p>
    <w:p>
      <w:r>
        <w:t>Die Vorinstanz erwog, die Beklagte habe die unerlaubten Privattelefone des Klägers und die entsprechende Abmahnung erstmals im Schreiben vom 17. Oktober 2003 und damit lange nach Aussprechen der Entlassung als wichtigen Grund geltend gemacht. Insoweit liege ein unzulässiges Nachschieben von Gründen vor, weshalb einzig der Vorfall mit dem Transportstuhl als wichtiger Grund in Frage komme. Diesbezüglich sei das Verhalten des Klägers zwar unentschuldbar, denn dieser habe immerhin eine Straftat (vorsätzliche Sachbeschädigung) begangen. Zu Gunsten des Klägers sei indes zu gewichten, - -:- - dass der Kläger nicht aus böser Absicht oder Rache, sondern vermeintlich zum betrieblichen Nutzen gehandelt habe, indem er dem Rettungsdienst zu einem neuen Transportstuhl habe verhelfen, die Anschaffung zumindest habe beschleunigen wollen, - dass mehrere Leute des Rettungsdienstes im Nachgang der Präsentation des neuen Stuhles einen solchen gewünscht und über die Möglichkeit einer schnelleren Beschaffung durch Zerstörung des vorhandenen Stuhles geredet und gewitzelt hätten, - dass der Kläger sein Vorgehen unverzüglich seinem Vorgesetzten gemeldet und dieser nicht oder nur verzögert reagiert habe, - dass auch der Personalchef der Sache nicht sogleich nachging, als er mündlich davon unterrichtet wurde, sondern etwa eine Woche zuwartete, bis ihm etwas Schriftliches vorlag. Unter diesen besonderen Umständen wäre der Beklagten nach Auffassung der Vorinstanz zuzumuten gewesen, das Arbeitsverhältnis mit dem Kläger bis zum Ablauf der ordentlichen Kündigungsfrist (Ende Dezember 2003) fortzusetzen. Die Verantwortlichen der Beklagten hätten durch ihr zögerliches Verhalten denn auch belegt, dass sie eine sofortige Trennung vom Kläger nicht als dringlich geboten betrachteten. Die Vorinstanz verneinte daher des Vorliegen eines wichtigen Grundes zur fristlosen Vertragsauflösung, hielt aber dafür, es seien insbesondere im Hinblick darauf, dass der Kläger eine Straftat begangen habe, aussergewöhnliche Umstände gegeben, die ausnahmsweise rechtfertigten, von der Zusprechung einer Pönalentschädigung nach Art. 337c Abs. 3 OR abzusehen.</w:t>
      </w:r>
    </w:p>
    <w:p>
      <w:r>
        <w:rPr>
          <w:b/>
        </w:rPr>
        <w:t>E. 1.2</w:t>
      </w:r>
    </w:p>
    <w:p>
      <w:r>
        <w:t>Die Beklagte vertritt in der Berufung die Meinung, die fristlose Auflösung des Arbeitsverhältnisses vom 22. September 2003 sei aufgrund der vorsätzlichen Zerstörung des Transportstuhls und der erfolgten Abmahnung wegen der privaten Telefongespräche gerechtfertigt gewesen.</w:t>
      </w:r>
    </w:p>
    <w:p>
      <w:r>
        <w:rPr>
          <w:b/>
        </w:rPr>
        <w:t>E. 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129 III 380 E. 2 S. 381 f., je mit Hinweisen).</w:t>
      </w:r>
    </w:p>
    <w:p>
      <w:r>
        <w:rPr>
          <w:b/>
        </w:rPr>
        <w:t>E. 2.2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129 III 380 E. 2.1 S. 382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2.3</w:t>
      </w:r>
    </w:p>
    <w:p>
      <w:r>
        <w:t>Die Abmahnung hat zugleich Rüge- und Warnfunktion (Staehelin, Zürcher Kommentar, N. 10 zu Art. 337 OR mit Hinweisen). Zwar muss für die Gültigkeit der fristlosen Entlassung wegen leichterer Verstösse gegen die Arbeits- oder Treuepflicht nicht unter allen Umständen die fristlose Entlassung explizit angedroht worden sein. Indessen kann die Abmahnung ihren Warnzweck nur erfüllen, wenn sie als solche erkennbar ist, und der Arbeitgeber dem Arbeitnehmer unmissverständlich klar macht, dass er den oder die begangenen Fehler schwer gewichtet und deren Wiederholung nicht sanktionslos hinzunehmen bereit ist (vgl. Staehelin, Zürcher Kommentar, N. 9 zu Art. 337 OR ). Der Arbeitnehmer muss klar erkennen können, welche Verhaltensweisen nicht mehr toleriert werden und wie er sich in Zukunft zu verhalten hat (Bundesgerichtsurteil 4C.187/2004 vom 5. Juli 2004 E. 5.1 mit Hinweis). Zur Beurteilung der Frage, ob der Arbeitnehmer nach Treu und Glauben als ausreichend gewarnt zu gelten hat und dem Arbeitgeber bei erneuter Pflichtwidrigkeit die Fortsetzung des Arbeitsvertrages bis zum Ablauf der ordentlichen Kündigungsfrist nicht mehr zugemutet werden kann, sind wiederum die konkreten Umstände heranzuziehen. Abzustellen ist auf die Natur, Schwere und Häufigkeit der Verfehlungen sowie die Reaktion des Arbeitnehmers auf die erfolgte Rüge und Ermahnung. Feste Regeln über Anzahl und Inhalt der erforderlichen Abmahnungen lassen sich angesichts der Vielzahl möglicher Fallumstände nicht aufstellen. Es gilt jedoch im Auge zu behalten, dass nicht die Verwarnung als solche für die Frage der Berechtigung der fristlosen Entlassung ausschlaggebend ist, sondern die Tatsache, dass ein Verhalten des Arbeitnehmers die Fortführung des Arbeitsverhältnisses bis zum Ablauf der ordentlichen Kündigungsfrist für den Arbeitgeber nach Treu und Glauben unzumutbar machen kann. Das ist der Fall, wenn ein Arbeitnehmer, trotz klarer Verwarnung das beanstandete Verhalten nicht ändert ( BGE 127 III 153 E. 1c S. 157 f.).</w:t>
      </w:r>
    </w:p>
    <w:p>
      <w:r>
        <w:rPr>
          <w:b/>
        </w:rPr>
        <w:t>E. 3.1</w:t>
      </w:r>
    </w:p>
    <w:p>
      <w:r>
        <w:t>Diese Grundsätze hat die Vorinstanz nicht verkannt, wenn sie der hinsichtlich der Telefongespräche erfolgten Abmahnung bei der Beurteilung der Zerstörung des Transportstuhls keine Bedeutung beimass, denn dass der Kläger die erfolgte Warnung in den Wind geschlagen und das Notfallhandy erneut für private Zwecke verwendet hätte, geht aus dem angefochtenen Urteil nicht hervor. Für sein sonstiges Verhalten musste der Kläger aus der Mahnung nichts ableiten. Der Beklagten ist daher nicht beizupflichten, wenn sie sinngemäss vorträgt, die Verwarnung aufgrund der privaten Telefongespräche mit dem Notfall-Natel hätte auch den Vorfall vom 11. September 2003 mitumfasst. Da keinerlei Warnungen dargetan sind, welche sich thematisch auch nur entfernt dem Umgang des Klägers mit Arbeitsmaterial zuordnen lassen, wie er sich beim Überfahren des Transportstuhls manifestiert hat, ist davon auszugehen, dass der Zerstörung des Transportstuhls keine Abmahnung vorausging. Unter diesen Umständen hätte es der Beklagten auch nicht weitergeholfen, wenn sie sich bereits anlässlich der fristlosen Entlassung auf die frühere Warnung berufen hätte. Ob sie zum Nachschieben der Warnung im Sinne eines Kündigungsgrundes berechtigt war, kann daher offen bleiben.</w:t>
      </w:r>
    </w:p>
    <w:p>
      <w:r>
        <w:rPr>
          <w:b/>
        </w:rPr>
        <w:t>E. 3.2</w:t>
      </w:r>
    </w:p>
    <w:p>
      <w:r>
        <w:t>Auch was die Beklagte vorbringt, um die Auffassung der Vorinstanz als bundesrechtswidrig auszugeben, dass das Überfahren des Transportstuhls aufgrund der besonderen Umständen nicht die für die Annahme eines nach Art. 337 Abs. 1 OR wichtigen Grundes nötige Schwere erreicht, ist nicht geeignet, eine Ermessensüberschreitung der Vorinstanz aufzuzeigen.</w:t>
      </w:r>
    </w:p>
    <w:p>
      <w:r>
        <w:rPr>
          <w:b/>
        </w:rPr>
        <w:t>E. 3.2.1</w:t>
      </w:r>
    </w:p>
    <w:p>
      <w:r>
        <w:t>Die Beklagte übersieht, dass die Vorinstanz den Zerstörungsakt keineswegs bagatellisiert und darin auch eine vorbedachte Handlung erblickt hat. Weshalb es gegen Bundesrecht verstossen soll, dabei auch die Motivation des "Täters" zu berücksichtigen, ist weder dargetan noch ersichtlich.</w:t>
      </w:r>
    </w:p>
    <w:p>
      <w:r>
        <w:rPr>
          <w:b/>
        </w:rPr>
        <w:t>E. 3.2.2</w:t>
      </w:r>
    </w:p>
    <w:p>
      <w:r>
        <w:t>Soweit die Beklagte der Vorinstanz als Verstoss gegen Art. 8 ZGB vorwirft, diese habe ohne jegliche Anhaltspunkte in den Akten angenommen, dass 2004 ohnehin ein neuer Transportstuhl beschafft worden wäre, übersieht sie, dass die Vorinstanz als Aussage des direkten Vorgesetzten des Klägers festhielt, die Anschaffung eines solchen Stuhles sei für 2004 im Budget vorgesehen gewesen. An der von der Vorinstanz bezeichneten Stelle führt der Vorgesetzte zudem aus, es sei vorgesehen gewesen, den Transportstuhl zu ersetzen, in welchem Sinne der Sachverhalt ergänzt werden kann ( Art. 64 Abs. 2 OG ). Die Rüge der Beklagten ist offensichtlich unbegründet.</w:t>
      </w:r>
    </w:p>
    <w:p>
      <w:r>
        <w:rPr>
          <w:b/>
        </w:rPr>
        <w:t>E. 3.2.3</w:t>
      </w:r>
    </w:p>
    <w:p>
      <w:r>
        <w:t>Der Hinweis der Beklagten, ihr Personalchef habe sich völlig korrekt verhalten, als er nach Kenntnisnahme der Ereignisse vom 11. September 2003 einen schriftlichen Kurzbericht verlangte, bevor er Massnahmen zu ergreifen gedachte, ändert nichts daran, dass der Personalchef mit seinem Zuwarten kundtat, dass der Vorfall keiner sofortigen Reaktion bedurfte. Sollte der Personalchef der Meinung gewesen sein, die Beklagte müsse sich sofort von einem Arbeitnehmer trennen, der sich auf die ihm beschriebene Weise verhält, hätte er unverzüglich eigene Abklärungen an die Hand nehmen müssen. Indem er darauf verzichtete ohne zu wissen, wann er im Besitz des schriftlichen Berichts sein würde, nahm er in Kauf, dass der Kläger trotz der möglicherweise verübten Sachbeschädigung vorderhand weiterhin für die Beklagte tätig war.</w:t>
      </w:r>
    </w:p>
    <w:p>
      <w:r>
        <w:rPr>
          <w:b/>
        </w:rPr>
        <w:t>E. 3.2.4</w:t>
      </w:r>
    </w:p>
    <w:p>
      <w:r>
        <w:t>Der unmittelbare Vorgesetzte zeigte sich über das Verhalten des Klägers ebenfalls nicht erschüttert, als er telefonisch davon erfuhr. Auch dieses Verhalten muss sich die Beklagte zurechnen lassen. Vor diesem Hintergrund erscheint bereits in subjektiver Hinsicht fraglich, ob der Vorfall das gegenseitige Vertrauen unwiederbringlich zerstört hat. Da keinerlei Anhaltspunkte dafür vorliegen, dass der Kläger erneut in die Lage geraten könnte, sich auf ähnliche Weise zu verhalten, lässt sich der Vorfall auch objektiv als einmaliges, aus der besonderen Situation heraus entstandenes Ereignis einstufen. Die Auffassung der Vorinstanz, der Beklagten sei die Fortsetzung des Arbeitsverhältnisses jedenfalls bis zum Ablauf der ordentlichen Kündigungsfrist zuzumuten, liegt somit im Rahmen des ihr zustehenden Ermessens und hält vor Bundesrecht stand.</w:t>
      </w:r>
    </w:p>
    <w:p>
      <w:r>
        <w:rPr>
          <w:b/>
        </w:rPr>
        <w:t>E. 4</w:t>
      </w:r>
    </w:p>
    <w:p>
      <w:r>
        <w:t>Nach dem Gesagten ist die Berufung abzuweisen. Da der Streitwert unter Fr. 30'000.-- liegt, ist das Verfahren kostenlos ( Art. 343 Abs. 3 OR ). Da die Intervenientin sich nicht hat vernehmen lassen, steht ihr keine Parteientschädigung zu. Hingegen hat die Beklagte den Kläger für das Verfahren vor Bundesgericht zu entschädigen ( BGE 115 II 30 E. 5c S. 42 mit Hinweisen). In Bezug auf die Kosten ist das Gesuch um unentgeltliche Rechtspflege gegenstandslos. Da die Voraussetzungen der Gewährung der unentgeltliche Prozessführung im Sinne von Art. 152 OG beim Kläger offensichtlich gegeben sind, behält es aber seine Bedeutung für die Parteientschädigung. Sollte sich diese als uneinbringlich erweisen, ist sie dem Vertreter des Klägers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