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4C.364/2004 vom 1. Juli 2005</w:t>
      </w:r>
    </w:p>
    <w:p>
      <w:r>
        <w:t>Bundesgericht, 2005-07-01, DE</w:t>
      </w:r>
    </w:p>
    <w:p>
      <w:r>
        <w:rPr>
          <w:b/>
        </w:rPr>
        <w:t xml:space="preserve">Quelle: </w:t>
      </w:r>
      <w:r>
        <w:t>https://mcp.opencaselaw.ch/entscheid/bger_4C.364_2004</w:t>
      </w:r>
    </w:p>
    <w:p>
      <w:r>
        <w:t>FR: TF 4C.364/2004 du 1 juillet 2005</w:t>
      </w:r>
    </w:p>
    <w:p>
      <w:r>
        <w:t>IT: TF 4C.364/2004 del 1 luglio 2005</w:t>
      </w:r>
    </w:p>
    <w:p>
      <w:pPr>
        <w:pStyle w:val="Heading2"/>
      </w:pPr>
      <w:r>
        <w:t>Regeste</w:t>
      </w:r>
    </w:p>
    <w:p>
      <w:r>
        <w:t>Arbeitsvertrag; fristlose Entlassung; Bonuszahlung | Vertragsrecht</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1.2</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c OG ). Für eine blosse Kritik an der Beweiswürdigung der Vorinstanz ist die Berufung nicht gegeben ( BGE 127 III 248 E. 2c; 115 II 484 E. 2a S. 486).</w:t>
      </w:r>
    </w:p>
    <w:p>
      <w:r>
        <w:rPr>
          <w:b/>
        </w:rPr>
        <w:t>E. 1.3</w:t>
      </w:r>
    </w:p>
    <w:p>
      <w:r>
        <w:t>Auf die Berufung der Klägerin ist nicht einzutreten, soweit sie - ohne eine der genannten Ausnahmen von der Bindung des Bundesgerichts an die tatsächlichen Feststellungen der Vorinstanz geltend zu machen - von einem Sachverhalt ausgeht, der von diesen Feststellungen abweicht oder darin keine Stütze findet. Dies gilt namentlich für die Angabe, die Parteien hätten vereinbart, dass ab einem Umsatz von Fr. 800'000.-- ein Bonus geschuldet sei. Von den tatsächlichen Feststellung der Vorinstanz weicht die Beklagte auch in unzulässiger Weise ab, wenn sie angibt, der mit ihr vereinbarte Lohn sei erst mit einem zusätzlichen Bonus branchenüblich gewesen. Das Obergericht ging insbesondere gestützt auf die Würdigung einer Zeugenaussage davon aus, die Höhe der Bonuszahlungen in den Jahren 1997 und 1998 habe nicht in erster Linie auf einer Beurteilung der Arbeitsleistung der Beklagten beruht, sondern sei "eher Ausfluss der Beziehung" zwischen der Beklagten und C.________ gewesen. An dieser Beweiswürdigung übt die Beklagte unzulässige Kritik, wenn sie sinngemäss angibt, wäre die Liebesbeziehung massgebend gewesen, so hätte der Bonus im Jahr 1996 am höchsten sein müssen.</w:t>
      </w:r>
    </w:p>
    <w:p>
      <w:r>
        <w:rPr>
          <w:b/>
        </w:rPr>
        <w:t>E. 2.1</w:t>
      </w:r>
    </w:p>
    <w:p>
      <w:r>
        <w:t>Im vorliegenden Fall ist strittig, ob der in Ziffer 5 des Arbeitsvertrages geregelte Bonus als Gratifikation oder als Lohnbestandteil zu qualifizieren ist.</w:t>
      </w:r>
    </w:p>
    <w:p>
      <w:r>
        <w:rPr>
          <w:b/>
        </w:rPr>
        <w:t>E. 2.2</w:t>
      </w:r>
    </w:p>
    <w:p>
      <w:r>
        <w:t>Art. 322d OR definiert die Gratifikation als Sondervergütung, welche der Arbeitgeber neben dem Lohn bei bestimmten Anlässen, wie Weihnachten oder Abschluss des Geschäftsjahrs, ausrichtet. Nach der Rechtsprechung des Bundesgerichts handelt es sich bei einer Gratifikation um eine ausserordentliche Zulage, die zum Lohn hinzutritt und immer in einem gewissen Masse vom Willen des Arbeitgebers abhängt. Ein im voraus festgesetzter und fest vereinbarter Betrag kann daher keine Gratifikation sein, sondern stellt Lohn dar. Daraus darf jedoch nicht der Umkehrschluss gezogen werden, dass jede variable Vergütung eine Gratifikation wäre, da gemäss Art. 322a OR auch ein Lohnbestandteil im Sinne von Art. 322 OR variabel ausgestaltet sein kann ( BGE 129 III 276 E. 2 S. 278 f. mit Hinweisen). Da der Arbeitsvertrag definitionsgemäss entgeltlich ist, genügt eine bloss freiwillige Entschädigung nicht. Das Entgelt kann daher bei einem Arbeitsvertrag nicht ausschliesslich in einer Gratifikation bestehen, weil diese eine ganz oder teilweise freiwillige Sondervergütung ist, die zum Lohn hinzutritt. Daraus folgt, dass es nicht zulässig sein kann, einen kleinen Lohn und dafür eine grosse freiwillige Gratifikation zu vereinbaren, weil damit die Gratifikation trotz der vereinbarten Freiwilligkeit als das eigentliche Entgelt für die Arbeit erscheint und daher zumindest teilweise als Lohn im Rechtssinn zu qualifizieren ist. Die entsprechende Grenze kann nicht einfach in einer festen Verhältniszahl zwischen dem vereinbarten Lohn und der freiwilligen Gratifikation liegen. Vielmehr sind die Umstände des Einzelfalls zu berücksichtigen. So kann bei einem niedrigen Einkommen schon ein (auch relativ) kleiner Einkommensunterschied sehr viel mehr Bedeutung haben, als bei einem hohen Einkommen. Entsprechend kann bei einem hohen Einkommen der als Gratifikation ausgerichtete Teil der Leistung prozentual zum Lohn grösser sein, als bei einem niedrigen Einkommen. Ob die fragliche Leistung für die Parteien zur entscheidenden Entschädigung für die Arbeitsleistung und damit zum Lohn geworden oder eine blosse Zusatzvergütung und damit Gratifikation geblieben ist, hängt überdies von ihrer Regelmässigkeit ab. Auch bei einer im Verhältnis zum Lohn sehr hohen Leistung kann der Charakter als Gratifikation gewahrt werden, wenn ihre Ausrichtung einmalig ist und sich in dieser Höhe nicht wiederholt. Auch deshalb lässt sich keine allgemeine Schranke für die Höhe der Gratifikation festsetzen. Immerhin erscheint der akzessorische Charakter dann kaum mehr gewahrt, wenn die Gratifikation regelmässig einen höheren Betrag erreicht als der Lohn ( BGE 129 III 276 E. 2.1 S. 279 f.). Dabei ist zu beachten, dass Lehre und Rechtsprechung annehmen, nach dem Vertrauensprinzip gelte eine Gratifikation als vereinbart, wenn sie vorbehaltlos während mindestens drei aufeinander folgenden Jahren ausgerichtet worden ist. Sind unterschiedliche Beträge bezahlt worden, so betrifft die Einigung nur den Grundsatz, dass eine Gratifikation auszurichten ist. Der Arbeitgeber kann dann unterschiedliche Beträge je nach der Qualität der Arbeitsleistung, dem Geschäftsgang und weiteren von ihm frei bestimmbaren Kriterien ausrichten ( BGE 129 III 276 E. 2 S. 278 mit Hinweisen)</w:t>
      </w:r>
    </w:p>
    <w:p>
      <w:r>
        <w:rPr>
          <w:b/>
        </w:rPr>
        <w:t>E. 2.3</w:t>
      </w:r>
    </w:p>
    <w:p>
      <w:r>
        <w:t>Das Obergericht erwog, zwar seien in den Jahren 1997 und 1998 Boni ausgerichtet worden, welche in etwa dem im Arbeitsvertrag vereinbarten Jahreseinkommen entsprachen. Trotz dieses Verhältnisses sei aber nicht davon auszugehen, dass die der Beklagten ausgerichteten Boni auf Grund ihrer Höhe zum Lohn im Rechtssinn geworden seien, da die Beklagte auch ohne Boni lohnmässig angemessen und branchenüblich entschädigt worden sei und gemäss der Aussage des Vizepräsidenten des Verwaltungsrates der Klägerin davon auszugehen sei, dass die Höhe dieser Boni nicht in erster Linie auf der Beurteilung der Arbeitsleistung der Beklagten beruhten, sondern "eher Ausfluss der Beziehung" zwischen der Beklagten und C.________ gewesen sei. Weiter ging das Obergericht davon aus, der Freiwilligkeitsvorbehalt sei unter dem Vertrauensgesichtspunkt nicht dahingefallen, da die Klägerin der Beklagten nicht während mindestens drei aufeinander folgenden Jahren vorbehaltlos einen Bonus ausgerichtet habe.</w:t>
      </w:r>
    </w:p>
    <w:p>
      <w:r>
        <w:rPr>
          <w:b/>
        </w:rPr>
        <w:t>E. 2.4</w:t>
      </w:r>
    </w:p>
    <w:p>
      <w:r>
        <w:t>Die Beklagte rügt, das Obergericht habe Bundesrecht verletzt, indem es die ihr ausbezahlten Boni nicht als Lohn im Sinne von Art. 322 OR , sondern als Gratifikation gemäss Art. 322d OR qualifiziert habe. Gemäss der Rechtsprechung des Bundesgerichts sei vermutungsweise von einem Lohnbestandteil auszugehen, wenn die Gratifikation regelmässig einen höheren Betrag erreiche als der Lohn. Da die Bonuszahlungen der Klägerin an die Beklagte regelmässig die Höhe des Lohnes (ohne Spesen) überschritten hätten, seien sie für die Beklagte zu einem wesentlichen Lohnbestandteil geworden. Zudem habe das Obergericht verkannt, dass die Rechtsprechung, wonach eine Gratifikation nach dem Vertrauensprinzip als vereinbart gilt, wenn sie vorbehaltlos während mindestens dreier aufeinander folgender Jahre ausgerichtet worden ist, nicht als absolute Regel zu verstehen sei. Vielmehr sei bloss anzunehmen, dass unter diesen Voraussetzungen mit Sicherheit von einer Vereinbarung ausgegangen werden könne.</w:t>
      </w:r>
    </w:p>
    <w:p>
      <w:r>
        <w:rPr>
          <w:b/>
        </w:rPr>
        <w:t>E. 2.5</w:t>
      </w:r>
    </w:p>
    <w:p>
      <w:r>
        <w:t>Nach den für das Bundesgericht verbindlichen Feststellungen der Vorinstanz ist die Beklagte bereits durch den mit ihr vereinbarten Lohn angemessen und branchenüblich entschädigt worden. Damit kann nicht davon ausgegangen werden, dass ein kleiner Lohn und dafür eine hohe Gratifikation vereinbart worden ist, was dadurch bestätigt wird, dass der Beklagten im erste Arbeitsjahr kein Bonus ausbezahlt wurde. Daran vermag nichts zu ändern, dass in den beiden nachfolgenden Jahren die Klägerin einen sehr hohen Bonus leistete, weil die Höhe der Bonuszahlungen nach der Feststellung des Obergerichts nicht in erster Linie auf die Arbeitsleistung der Beklagten zurückzuführen war und auch noch keine regelmässige Zahlung vorlag. Eine solche ist in der Regel erst nach einer dreimaligen Zahlung zu bejahen. Dass das Obergericht von dieser Regel im vorliegenden Fall keine Ausnahme gemacht hat, kann ihm entgegen der Ansicht der Beklagten nicht als Bundesrechtsverletzung angelastet werden.</w:t>
      </w:r>
    </w:p>
    <w:p>
      <w:r>
        <w:rPr>
          <w:b/>
        </w:rPr>
        <w:t>E. 3.1</w:t>
      </w:r>
    </w:p>
    <w:p>
      <w:r>
        <w:t>Hat sich ein Arbeitgeber dem Grundsatz nach zur Ausrichtung einer Gratifikation vertraglich verpflichtet, muss ihm bei der Bemessung des Gratifikationsbetrages ein gewisses Ermessen eingeräumt werden. Dabei darf er nicht willkürlich, d.h. aus sachfremden Gründen, einen Arbeitnehmer schlechter stellen als die übrigen Arbeitnehmer. Insoweit besteht ein Anspruch auf Gleichbehandlung (Brühwiler, Berner Kommentar, N 6 zu Art. 322 OR ; Thomas Geiser, Arbeitsrechtliche Aspekte im Zusammenhang mit Leistungslohn, AJP 2001 S. 382 ff. S. 390 mit weiteren Hinweisen). Beruhen dagegen die Bonuszahlungen auf dem Grundsatz der Freiwilligkeit, so kann der Arbeitgeber, Bestand und Höhe des Bonus grundsätzlich an beliebige Voraussetzungen knüpfen. Er darf auch bestimmte Mitarbeiter ganz ausschliessen oder benachteiligen. Er darf jedoch keine die Persönlichkeit des Arbeitnehmers verletzende Diskriminierung vornehmen. Auch bei grundsätzlicher Freiwilligkeit der Gratifikationsleistung kann sich daher aus dem Verbot der Diskriminierung ein Rechtsanspruch des Arbeitnehmers auf Gratifikation ergeben (Rehbinder, Berner Kommentar, N. 9 zu Art. 322d OR ). Zu beachten ist allerdings, dass auch eine unsachliche und willkürliche Entscheidung des Arbeitgebers nur dann eine Persönlichkeitsverletzung und damit einen Verstoss gegen das individuelle Diskriminierungsverbot darstellt, wenn darin eine den Arbeitnehmer verletzende Geringschätzung seiner Persönlichkeit zum Ausdruck kommt. Dies ist anzunehmen, wenn ein Arbeitnehmer grundlos gegenüber einer Vielzahl von anderen Arbeitnehmern deutlich ungünstiger gestellt wird. Dagegen liegt keine persönlichkeitsverletzende Diskriminierung vor, wenn der Arbeitgeber bloss einzelne Arbeitnehmer besser stellt ( BGE 129 III 276 E. 3.1 S. 282 f.). Bezahlt ein Arbeitgeber bei einer Vielzahl von Kündigungen einzelnen Arbeitnehmern auch im gekündigten Arbeitsverhältnis eine Gratifikation, so liegt bei der Verweigerung einer Gratifikation gegenüber einem Arbeitnehmer im gekündigten Vertragsverhältnis kein Fall einer diskriminierenden Benachteiligung desselben, sondern eine zulässige Begünstigung einzelner Arbeitnehmer vor ( BGE 129 III 276 E. 3.2. S. 283).</w:t>
      </w:r>
    </w:p>
    <w:p>
      <w:r>
        <w:rPr>
          <w:b/>
        </w:rPr>
        <w:t>E. 3.2</w:t>
      </w:r>
    </w:p>
    <w:p>
      <w:r>
        <w:t>Das Obergericht ging dem Sinne nach davon aus, die Beklagte mache nicht ausdrücklich geltend, es liege eine die Unwirksamkeit des Freiwilligkeitsvorbehalts bewirkende Diskriminierung vor. Eine solche sei auch zu verneinen, da die Beklagte selber davon ausgehe, dass das von ihr behauptete Bonusschema nur für C.________ als Inhaber und sie als einzige Direktorin/Partnerin der Firma anwendbar gewesen sei. Daran vermöge nichts zu ändern, dass die anderen Mitarbeiter und Mitarbeiterinnen regelmässig - allerdings nicht alle in jedem Jahr - Boni erhalten hätten, da gemäss der Rechtsprechung des Bundesgerichts grundsätzlich beliebige Differenzierungen zwischen den einzelnen Arbeitnehmern erlaubt seien. Das Arbeitsgericht vertrete allerdings die Meinung, die Klägerin habe das ihr zustehende Ermessen willkürlich ausgeübt, wenn sie der Beklagten die Auszahlung eines Bonus verweigert habe, weil die persönliche Liebesbeziehung zu C.________ gescheitert sei, dies umso mehr als es dieser gewesen sei, der die Beziehung beendet habe. Ob das Arbeitsgericht damit eine nicht bewiesene Annahme treffe, könne dahingestellt bleiben, nachdem seitens der Beklagten eingeräumt worden sei, dass ihr auch nach der Beendigung der privaten Beziehung sämtliche Möglichkeiten zur Fortsetzung ihrer Karriere bei der Klägerin offen gestanden hätten. Die Kündigung sei erst Monate danach erfolgt und könne gemäss den unangefochtenen Feststellungen des Arbeitsgerichts nicht als missbräuchlich qualifiziert werden. Unter diesen Umständen könne angesichts des gültigen Freiwilligkeitsvorbehalts nicht von einer willkürlichen Ermessensausübung gesprochen werden.</w:t>
      </w:r>
    </w:p>
    <w:p>
      <w:r>
        <w:rPr>
          <w:b/>
        </w:rPr>
        <w:t>E. 3.3</w:t>
      </w:r>
    </w:p>
    <w:p>
      <w:r>
        <w:t>Die Beklagte macht dem Sinne nach geltend, selbst wenn die Bonuszahlung im freien Ermessen der Klägerin gestanden hätte, sei mit der ersten Instanz davon auszugehen, dass die Klägerin das ihr zustehende Ermessen willkürlich ausgeübt habe. Dabei spiele es keine Rolle, ob der Bonus für das Jahr 1999 tatsächlich als Folge der Beendigung der Liebesbeziehung im Juli dieses Jahre verweigert worden sei. Würde dies zutreffen, so läge Willkür vor, weil auf ein sachfremdes Kriterium abgestellt worden wäre. Andernfalls wäre die Verweigerung deshalb willkürlich, weil dafür ein sachlicher Grund gefehlt habe, zumal die Beklagte ihre Arbeitsleistung bzw. ihren Umsatz im Jahr 1999 gegenüber den Vorjahren gesteigert habe und dieses Jahr ein umsatzmässig gutes Geschäftsjahr gewesen sei, in dem die anderen Mitarbeiter einen Bonus erhalten hätten. Daraus habe das Obergericht eine Verletzung des Gleichbehandlungsprinzips ableiten müssen. Zwar habe es bei der Klägerin sehr wohl Unterschiede hinsichtlich der Funktion der Mitarbeiter und somit auch hinsichtlich deren Bonushöhe gegeben. Diese Unterschiede hätten jedoch nicht den Grundsatz der Bonuszahlung betroffen. Unter diesen Umständen habe die Klägerin unter dem Gesichtspunkt des Gleichbehandlungsgrundsatzes eine Bonuszahlung nicht unter Hinweis auf die Freiwilligkeit der Bonuszahlung verweigern dürfen, ohne der Beklagten eine ernsthafte Pflichtverletzung vorzuwerfen.</w:t>
      </w:r>
    </w:p>
    <w:p>
      <w:r>
        <w:rPr>
          <w:b/>
        </w:rPr>
        <w:t>E. 3.4</w:t>
      </w:r>
    </w:p>
    <w:p>
      <w:r>
        <w:t>Die Beklagte lässt ausser Acht, dass auf Grund des gültigen Freiwilligkeitsvorbehalts grundsätzlich kein Anspruch auf eine willkürfreie Entscheidung über die Bonuszahlung besteht und sich ein Bonusanspruch höchstens aus dem Diskriminierungsverbot ergeben könnte. Eine unzulässige Diskriminierung macht die Beklagte sinngemäss geltend, wenn sie angibt, sie sei bezüglich des Bonus im Jahr 1999 ungerechtfertigt schlechter gestellt worden als die anderen Mitarbeiter. Dass diese damals ebenfalls im gekündigten Arbeitsverhältnis gestanden hätten, wird von der Beklagten jedoch nicht behauptet. Demnach ist eine persönlichkeitsverletzende Diskriminierung zu verneinen, zumal die Beklagte gemäss der von ihr vorgelegten Bonusvereinbarung, selber davon ausging, dass bei einem gekündigten Arbeitsverhältnis grundsätzlich kein Bonus geschuldet sei. Den dagegen ursprünglich erhobenen Einwand, die Kündigung sei missbräuchlich zur Verhinderung dieses Anspruchs erfolgt, bringt die Beklagte zu Recht nicht mehr vor, da das Arbeitsgericht die Kündigung als nicht missbräuchlich qualifiziert hatte und die Beklagte dieses Urteil insoweit nicht angefochten hat. Demnach ist eine unzulässige Diskriminierung der Beklagten zu verneinen. Das Obergericht hat daher kein Bundesrecht verletzt, wenn es annahm, die Klägerin habe auf Grund des Freiwilligkeitsvorbehalts der Beklagten einen Bonus für das Jahr 1999 verweigern können.</w:t>
      </w:r>
    </w:p>
    <w:p>
      <w:r>
        <w:rPr>
          <w:b/>
        </w:rPr>
        <w:t>E. 4</w:t>
      </w:r>
    </w:p>
    <w:p>
      <w:r>
        <w:t>Nach dem Gesagten ist die Berufung abzuweisen, soweit darauf einzutreten ist. Bei diesem Ausgang des Verfahrens wird die Beklagte kosten- und entschädigungspflichtig (Art. 156 Abs. 1 und 159 Abs. 2 OG).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