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4C.362/1999 vom 22. März 2000</w:t>
      </w:r>
    </w:p>
    <w:p>
      <w:r>
        <w:t>Bundesgericht, 2000-03-22, FR</w:t>
      </w:r>
    </w:p>
    <w:p>
      <w:r>
        <w:rPr>
          <w:b/>
        </w:rPr>
        <w:t xml:space="preserve">Quelle: </w:t>
      </w:r>
      <w:r>
        <w:t>https://mcp.opencaselaw.ch/entscheid/bger_4C.362_1999</w:t>
      </w:r>
    </w:p>
    <w:p>
      <w:r>
        <w:t>FR: TF 4C.362/1999 du 22 mars 2000</w:t>
      </w:r>
    </w:p>
    <w:p>
      <w:r>
        <w:t>IT: TF 4C.362/1999 del 22 marzo 2000</w:t>
      </w:r>
    </w:p>
    <w:p>
      <w:pPr>
        <w:pStyle w:val="Heading2"/>
      </w:pPr>
      <w:r>
        <w:t>Regeste</w:t>
      </w:r>
    </w:p>
    <w:p>
      <w:r>
        <w:t>Droit des contrats</w:t>
      </w:r>
    </w:p>
    <w:p>
      <w:pPr>
        <w:pStyle w:val="Heading2"/>
      </w:pPr>
      <w:r>
        <w:t>Erwägungen</w:t>
      </w:r>
    </w:p>
    <w:p>
      <w:r>
        <w:rPr>
          <w:b/>
        </w:rPr>
        <w:t>E. 5</w:t>
      </w:r>
    </w:p>
    <w:p>
      <w:r>
        <w:t>Les défendeurs reprochent également à la cour cantonale une violation des art. 722 CO et 55 al. 2 CC, subsidiairement de l' art. 55 CO . Ils soutiennent que Christoph von Teufenstein aurait commis un acte illicite en se faisant verser une commission de 150'715 fr. pour l'obtention du crédit, ce qui engagerait la responsabilité de la demanderesse en vertu des dispositions précitées. L'argumentation juridique des défendeurs repose sur des prémisses différentes des faits constatés, de sorte que celle-ci est à l'évidence infondée, sans qu'il soit nécessaire de se pencher sur le caractère illicite ou non de la commission versée dans le cadre du prêt. En effet, les défendeurs semblent perdre de vue que la Cour de céans ne peut, en instance de réforme, revoir l'appréciation des preuves à laquelle se sont livrés les juges cantonaux ( ATF 125 III 78 consid. 3a et les arrêts cités). Il convient donc de s'en tenir au jugement attaqué, qui constate que, lorsque Christoph von Teufenstein s'est engagé contre rémunération à procurer un prêt aux défendeurs, il a agi à titre personnel, dans le cadre de son activité professionnelle indépendante, ce qu'une lettre de la demanderesse a du reste expressément confirmé à Hans Deutsch. Or, la jurisprudence a clairement indiqué que la personne morale ne répond pas de l'acte commis par un organe à titre privé, même s'il a lieu à l'occasion de la gestion des affaires sociales ( ATF 121 III 176 consid. 4a p. 180; 105 II 289 consid. 5a et b; 101 Ib 422 consid. 5b p. 437). La commission reçue par Christoph von Teufenstein ne saurait donc engager la responsabilité de la demanderesse sur la base des art. 55 al. 2 CC ou 722 CO. Celle-ci ne serait du reste pas davantage tenue à réparer le dommage en application de l' art. 55 CO . A supposer que Christoph von Teufenstein puisse être considéré comme un auxiliaire (cf. ATF 122 III 225 consid. 4b p. 227), il faudrait encore qu'il ait agi "dans l'accomplissement de son travail", donc que l'acte soit en relation directe et fonctionnelle avec celui-ci, ce qui n'est précisément pas le cas en l'espèce. Par conséquent, en considérant que les défendeurs ne pouvaient émettre des prétentions contre la demanderesse ni opérer une compensation en se fondant sur le courtage financier, la cour cantonale n'a pas violé le droit fédéral. Dans ces circonstances, le recours doit être rejeté et le jugement attaqué confirmé.</w:t>
      </w:r>
    </w:p>
    <w:p>
      <w:r>
        <w:rPr>
          <w:b/>
        </w:rPr>
        <w:t>E. 6</w:t>
      </w:r>
    </w:p>
    <w:p>
      <w:r>
        <w:t>Les défendeurs, qui succombent, seront condamnés au paiement de l'émolument judiciaire et verseront à la demanderesse une indemnité à titre de dépens, solidairement entre eux (art. 156 al. 1 et 7 ; 159 al. 1 et 5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