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4C.351/2002 vom 25. Februar 2003</w:t>
      </w:r>
    </w:p>
    <w:p>
      <w:r>
        <w:t>Bundesgericht, 2003-02-25, FR</w:t>
      </w:r>
    </w:p>
    <w:p>
      <w:r>
        <w:rPr>
          <w:b/>
        </w:rPr>
        <w:t xml:space="preserve">Quelle: </w:t>
      </w:r>
      <w:r>
        <w:t>https://mcp.opencaselaw.ch/entscheid/bger_4C.351_2002</w:t>
      </w:r>
    </w:p>
    <w:p>
      <w:r>
        <w:t>FR: TF 4C.351/2002 du 25 février 2003</w:t>
      </w:r>
    </w:p>
    <w:p>
      <w:r>
        <w:t>IT: TF 4C.351/2002 del 25 febbraio 2003</w:t>
      </w:r>
    </w:p>
    <w:p>
      <w:pPr>
        <w:pStyle w:val="Heading2"/>
      </w:pPr>
      <w:r>
        <w:t>Regeste</w:t>
      </w:r>
    </w:p>
    <w:p>
      <w:r>
        <w:t>Droit des contrats</w:t>
      </w:r>
    </w:p>
    <w:p>
      <w:pPr>
        <w:pStyle w:val="Heading2"/>
      </w:pPr>
      <w:r>
        <w:t>Erwägungen</w:t>
      </w:r>
    </w:p>
    <w:p>
      <w:r>
        <w:rPr>
          <w:b/>
        </w:rPr>
        <w:t>E. 1</w:t>
      </w:r>
    </w:p>
    <w:p>
      <w:r>
        <w:t>Interjeté par la partie qui a succombé dans ses conclusions et dirigé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(art. 43 al. 1, 2ème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et où le recours de droit public pour appréciation arbitraire des preuves - formé parallèlement - a été rejeté, il n'est pas possible d'en tenir compte ( ATF 127 III 248 ibidem).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(qui ne peuvent en prendre de nouvelles: art. 55 al. 1 let. b OJ ), mais il n'est lié ni par les motifs que les parties invoquent ( art. 63 al. 1 OJ ), ni par l'argumentation juridique de la cour cantonale ( art. 63 al. 3 OJ ; ATF 128 III 22 consid. 2 e/cc in fine).</w:t>
      </w:r>
    </w:p>
    <w:p>
      <w:r>
        <w:rPr>
          <w:b/>
        </w:rPr>
        <w:t>E. 2</w:t>
      </w:r>
    </w:p>
    <w:p>
      <w:r>
        <w:t>Le recourant fait grief à l'autorité cantonale d'avoir interprété "de façon démesurément extensive" la clause de garantie insérée dans le contrat de vente. A l'en croire, il résulterait d'une interprétation objective - et restrictive - de cette clause que l'acheteur avait le droit, à l'intérieur du délai de trois mois, de demander la réparation au vendeur des défauts affectant la chose vendue, tout en restant au bénéfice du délai de prescription annal de l' art. 210 al. 1 CO . En outre, la Cour d'appel ne pouvait, sans violer le droit fédéral, déduire de l'enchaînement des mémoires déposés en procédure des constatations relatives à la volonté contractuelle initiale des plaideurs. Enfin, poursuit-il, une citation de doctrine ne saurait être utilisée en lieu et place de l'expression de la volonté des parties.</w:t>
      </w:r>
    </w:p>
    <w:p>
      <w:r>
        <w:rPr>
          <w:b/>
        </w:rPr>
        <w:t>E. 2.1</w:t>
      </w:r>
    </w:p>
    <w:p>
      <w:r>
        <w:t>Il est constant que, le 3 février 1998, le défendeur a vendu au demandeur un véhicule d'occasion de marque Porsche pour le prix de 36'000 fr. Les plaideurs ont ainsi conclu un contrat de vente au sens des art. 184 ss CO , lequel contenait une clause accordant une garantie de trois mois à condition que le véhicule ait été correctement utilisé. La garantie pour les défauts de la chose vendue fait l'objet des art. 197 à 210 CO. Le délai légal de prescription des actions en garantie, qui concerne tous les droits que peut exercer l'acheteur (cf. ATF 96 II 181 consid. 3b), est , selon l' art. 210 al. 1 CO , d'un an dès la livraison de la chose. Les règles légales sur la garantie sont toutefois de droit dispositif. Les parties ont ainsi la faculté de modifier conventionnellement le délai de prescription et/ou les délais, institués par l' art. 201 CO , durant lesquels l'acheteur est tenu de signaler les défauts, cela en les prolongeant ou, au contraire, en les abrégeant (cf. art. 210 al. 1 in fine CO). En l'espèce, il est établi que les cocontractants sont convenus d'une garantie de trois mois. Partant, il convient d'examiner plus en détail ce que recouvre cette limitation temporelle de garantie.</w:t>
      </w:r>
    </w:p>
    <w:p>
      <w:r>
        <w:rPr>
          <w:b/>
        </w:rPr>
        <w:t>E. 2.2</w:t>
      </w:r>
    </w:p>
    <w:p>
      <w:r>
        <w:t>Selon la jurisprudence,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la théorie de la confiance ( ATF 126 III 59 consid. 5a; Giger, Commentaire bernois, n. 10 ad art. 199 CO ), laquelle est une question de droit que le Tribunal fédéral, saisi d'un recours en réforme, peut examiner librement ( ATF 127 III 248 consid. 3a). Du moment que la clause doit exprimer clairement la volonté des parties, elle doit être interprétée restrictivement ( ATF 126 III 59 ibidem et les arrêts cités).</w:t>
      </w:r>
    </w:p>
    <w:p>
      <w:r>
        <w:rPr>
          <w:b/>
        </w:rPr>
        <w:t>E. 2.2.1</w:t>
      </w:r>
    </w:p>
    <w:p>
      <w:r>
        <w:t>Dans le cas présent, la cour cantonale a retenu qu'au début de la procédure et pendant l'échange des écritures, avant que débute la procédure probatoire devant le juge de première instance, la clause contractuelle litigieuse était, dans l'esprit des parties, une disposition qui limitait à trois mois le délai de garantie. La Cour d'appel a encore relevé que le demandeur a changé son fusil d'épaule en réplique, où il a désormais fait allusion "au délai légal d'une année". On peut se demander si l'autorité cantonale n'a pas établi la volonté réelle des cocontractants, étant donné que les circonstances survenues postérieurement à la conclusion du contrat, notamment le comportement de ces derniers, constituent un indice de leur volonté réelle ( ATF 118 II 365 consid. 1 p. 366). Il convient toutefois de répondre par la négative à la question. En effet, lorsque le juge doit procéder à une interprétation des manifestations de volonté, il ne saurait attribuer un poids démesuré aux premiers mémoires de justice déposés par les plaideurs, dont le contenu ne peut être que le reflet de la tactique qu'ils ont choisi d'adopter à un stade déterminé de l'instance.</w:t>
      </w:r>
    </w:p>
    <w:p>
      <w:r>
        <w:rPr>
          <w:b/>
        </w:rPr>
        <w:t>E. 2.2.2</w:t>
      </w:r>
    </w:p>
    <w:p>
      <w:r>
        <w:t>Il sied ainsi de faire application de la théorie de la confiance, qui prescrit que celui qui fait une déclaration de volonté adressée à autrui est lié pas sa déclaration selon le sens que le destinataire peut et doit lui attribuer de bonne foi en fonction de l'ensemble des circonstances ( ATF 127 III 444 consid. 1b; 126 III 59 consid. 5b, 375 consid. 2e/aa p. 380). Il doit être rappelé que le principe de la confiance permet d'imputer à une partie le sens objectif de sa déclaration ou de son comportement, même si celui-ci ne correspond pas à sa volonté intime ( ATF 127 III 279 consid. 2c/ee p. 287 et les références doctrinales). La clause incriminée du contrat de vente prévoit une "garantie de trois mois", à la condition que la voiture soit employée correctement. Il n'a pas été constaté que le recourant ait fait un usage incorrect du véhicule acheté, de sorte que la condition mise à l'octroi de la garantie doit être considérée comme réalisée. Il est pourtant impossible, sur la base des termes de l'accord, de déterminer à quoi se rapporte exactement les trois mois de garantie octroyés. Lorsqu'il y a doute sur le sens d'une clause limitative de responsabilité du vendeur, le Tribunal fédéral a posé, dans une jurisprudence ancienne ( ATF 78 II 376 ), que s'il a été stipulé un délai de garantie et que le délai conventionnel, comme c'est le cas en l'espèce, est plus court que le délai de prescription légal, le délai convenu concerne alors uniquement celui qui a trait à l'avis des défauts, le délai de prescription légal n'étant pas réduit. La doctrine moderne approuve ce précédent (cf. Tercier, Les contrats spéciaux, 3e éd., n. 816 à 818, p. 122/123; Engel, Contrats de droit suisse, 2e éd., p. 48; Honsell, Commentaire bâlois, 2e éd., n. 5 ad art. 210 CO ). Cette jurisprudence doit être confirmée. L'utilisation dans un contrat de vente des mots " délai de garantie" suscite l'impression chez l'acheteur qu'il bénéficie d'une protection particulière pendant le laps de temps prévu. Il s'ensuit que si ce délai est inférieur à une année, il n'est pas conforme au droit de contrebalancer l'avantage accordé - qui consiste dans le fait que l'acheteur peut invoquer tous les défauts qui sont survenus pendant la période en cause, sans que l'on puisse lui reprocher de n'avoir pas examiné la chose en temps utile - par la réduction simultanée du délai légal pour exercer l'action en garantie. On ne saurait admettre que, dans un tel cas, l'acheteur ait consenti à voir sa position juridique affaiblie. On parvient au même résultat si l'on se réfère au principe qui veut que les clauses obscures soient interprétées contre leur auteur ("in dubio contra stipulatorem"), soit contre le vendeur qui a rédigé le contrat. Quant à la référence à Tercier sur laquelle s'est appuyée la cour cantonale (op. cit., 2e éd., n. 524, qui correspond à la n. 819 de la 3e éd.), elle a trait à une clause de réparation, certes courante dans le commerce des voitures, mais qui n'entre manifestement pas en ligne de compte in casu. Arrivé à ce stade du débat, il convient de retenir que la clause de garantie convenue ne visait que le délai d'avis, qui a été porté à trois mois, et non le délai de prescription de l' art. 210 al. 1 CO , qui est demeuré celui fixé par cette norme.</w:t>
      </w:r>
    </w:p>
    <w:p>
      <w:r>
        <w:rPr>
          <w:b/>
        </w:rPr>
        <w:t>E. 3</w:t>
      </w:r>
    </w:p>
    <w:p>
      <w:r>
        <w:t>Le recourant prétend qu'il a signalé à l'intimé dans le délai imparti les défauts qu'il a constatés. S'agissant de l'embrayage, il allègue que l'existence du vice affectant ce dispositif a été établie par expertise. Au sujet de la portière que la Cour d'appel a tenue pour avoir été réparée par le défendeur, le demandeur s'étonne que celle-ci se soit fondée uniquement sur le témoignage de l'employé du vendeur, alors qu'aucune facture relative à cette intervention ne lui a été présentée. En ce qui concerne la perte d'huile qu'il a annoncée le 27 avril 1998, il soutient que l'avis des défauts était suffisamment motivé en fait et que la cour cantonale a apprécié arbitrairement les faits en considérant que la remontée d'huile au niveau des pistons et des cylindres, prouvée par expertise, n'avait rien à voir avec le défaut en question.</w:t>
      </w:r>
    </w:p>
    <w:p>
      <w:r>
        <w:rPr>
          <w:b/>
        </w:rPr>
        <w:t>E. 3.1</w:t>
      </w:r>
    </w:p>
    <w:p>
      <w:r>
        <w:t>L'acheteur doit vérifier l'état de la chose reçue aussitôt qu'il le peut d'après la marche habituelle des affaires et aviser sans délai le vendeur s'il découvre des défauts dont celui-ci est garant ( art. 201 al. 1 CO ). S'il ne procède pas ainsi, la chose est tenue pour acceptée, à moins qu'il ne s'agisse de défauts que l'acheteur ne pouvait découvrir à l'aide des vérifications usuelles ( art. 201 al. 2 CO ). Selon l' art. 201 al. 3 CO , de tels défauts cachés doivent être signalés immédiatement sous peine de voir la chose tenue pour acceptée, même avec ces défauts.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 ATF 107 II 172 consid. 1a; Tercier, op. cit., n. 703; Engel, op. cit., p. 38; Honsell, op. cit., n. 10 ad art. 201 CO ). L' art. 201 CO , d'après lequel l'acheteur doit aviser le vendeur sans délai, est d'application stricte ( ATF 107 II 172 consid. 1a et les nombreuses références). En vertu de la règle générale de l' art. 8 CC , il incombe à l'acheteur, qui se prévaut des art. 197 ss CO , de prouver que l'avis des défauts a été donné en temps utile; il lui appartient aussi d'établir à quel moment il a eu connaissance des défauts, à qui et comment il les a signalés ( ATF 118 II 142 consid. 3a; 107 II 172 consid. 1a in fine).</w:t>
      </w:r>
    </w:p>
    <w:p>
      <w:r>
        <w:rPr>
          <w:b/>
        </w:rPr>
        <w:t>E. 3.2</w:t>
      </w:r>
    </w:p>
    <w:p>
      <w:r>
        <w:t>Il n'est pas contesté que le demandeur a signalé au défendeur les trois défauts susmentionnés en date du 27 avril 1998, soit dans le délai d'avis conventionnel de trois mois après la livraison du véhicule, survenue le 11 février 1998. De même, il a été admis - à juste titre - que l'avis des défauts donné par le recourant était suffisamment motivé. En ce qui concerne le vice concernant l'embrayage, la cour cantonale a retenu qu'il n'avait jamais existé. Le grief se rapporte en réalité strictement à l'établissement des faits, d'où son irrecevabilité. Ce moyen a d'ailleurs été examiné et rejeté en instance de recours de droit public. De même, la Cour d'appel, appréciant les preuves rassemblées et plus particulièrement les déclarations d'un témoin, a admis que la portière avait été réparée. Comme on l'a vu, la voie de la réforme ne saurait être utilisée pour remettre en cause l'appréciation des moyens de preuves. La critique est derechef irrecevable. Finalement, l'autorité cantonale a retenu en fait que la voiture achetée le 3 février 1998 ne perdait pas d'huile le 27 avril 1998. Elle a procédé à une appréciation des preuves et privilégié l'opinion de l'expert privé E.________ exprimée dans son rapport du 11 septembre 1998, lequel n'a mentionné qu'une "remontée d'huile", mais pas une fuite d'huile. Il s'agit évidemment encore d'une constatation de fait, qu'il n'est pas possible de critiquer dans la présente instance. Du reste, cette constatation a résisté au grief d'arbitraire invoqué par le recourant dans le recours de droit public qu'il a formé parallèlement. Il suit de là que le moyen, sous toutes ses facettes, est entièrement irrecevable.</w:t>
      </w:r>
    </w:p>
    <w:p>
      <w:r>
        <w:rPr>
          <w:b/>
        </w:rPr>
        <w:t>E. 4</w:t>
      </w:r>
    </w:p>
    <w:p>
      <w:r>
        <w:t>Au vu de ce qui précède, le recours doit être rejeté dans la mesure de sa recevabilité. Les frais de la procédure seront mis à la charge du recourant qui succombe. Celui-ci devra en outre verser à l'intimé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