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4C.350/2000 vom 12. März 2001</w:t>
      </w:r>
    </w:p>
    <w:p>
      <w:r>
        <w:t>Bundesgericht, 2001-03-12, DE</w:t>
      </w:r>
    </w:p>
    <w:p>
      <w:r>
        <w:rPr>
          <w:b/>
        </w:rPr>
        <w:t xml:space="preserve">Quelle: </w:t>
      </w:r>
      <w:r>
        <w:t>https://mcp.opencaselaw.ch/entscheid/bger_4C.350_2000</w:t>
      </w:r>
    </w:p>
    <w:p>
      <w:r>
        <w:t>FR: TF 4C.350/2000 du 12 mars 2001</w:t>
      </w:r>
    </w:p>
    <w:p>
      <w:r>
        <w:t>IT: TF 4C.350/2000 del 12 marzo 2001</w:t>
      </w:r>
    </w:p>
    <w:p>
      <w:pPr>
        <w:pStyle w:val="Heading2"/>
      </w:pPr>
      <w:r>
        <w:t>Regeste</w:t>
      </w:r>
    </w:p>
    <w:p>
      <w:r>
        <w:t>Vertragsrecht</w:t>
      </w:r>
    </w:p>
    <w:p>
      <w:pPr>
        <w:pStyle w:val="Heading2"/>
      </w:pPr>
      <w:r>
        <w:t>Erwägungen</w:t>
      </w:r>
    </w:p>
    <w:p>
      <w:r>
        <w:rPr>
          <w:b/>
        </w:rPr>
        <w:t>E. 1</w:t>
      </w:r>
    </w:p>
    <w:p>
      <w:r>
        <w:t>der Fassadenarbeiten, wie Gerüstbau, Fassadenbau usw.. ,</w:t>
      </w:r>
    </w:p>
    <w:p>
      <w:r>
        <w:rPr>
          <w:b/>
        </w:rPr>
        <w:t>E. 1.1</w:t>
      </w:r>
    </w:p>
    <w:p>
      <w:r>
        <w:t>Räumlicher Geltungsbereich (...)</w:t>
      </w:r>
    </w:p>
    <w:p>
      <w:r>
        <w:rPr>
          <w:b/>
        </w:rPr>
        <w:t>E. 1.2</w:t>
      </w:r>
    </w:p>
    <w:p>
      <w:r>
        <w:t>Betrieblicher Geltungsbereich Der Gesamtarbeitsvertrag gilt für alle Betriebe und Betriebsteile, die Maler- und Gipserarbeiten ausführen oder ausführen lassen und zum Berufsbild des Malers oder Gipsers gehören. Als Maler- oder Gipserarbeiten gelten alle in Art. 24 aufgeführten Berufsarbeiten.</w:t>
      </w:r>
    </w:p>
    <w:p>
      <w:r>
        <w:rPr>
          <w:b/>
        </w:rPr>
        <w:t>E. 1.3</w:t>
      </w:r>
    </w:p>
    <w:p>
      <w:r>
        <w:t>Persönlicher Geltungsbereich Der Gesamtarbeitsvertrag gilt für sämtliche ArbeitgeberInnen und ArbeitnehmerInnen (nachfolgend Arbeitgeber und Arbeitnehmer genannt) der in Art. 1.2. aufgeführten Betriebe oder Betriebsteile, mit Ausnahme des kaufmännischen Personals, der Berufsangehörigen in höherer leitender Stellung, wie zum Beispiel Geschäftsführer, und der Lehrlinge.</w:t>
      </w:r>
    </w:p>
    <w:p>
      <w:r>
        <w:rPr>
          <w:b/>
        </w:rPr>
        <w:t>E. 1.4</w:t>
      </w:r>
    </w:p>
    <w:p>
      <w:r>
        <w:t>(...)</w:t>
      </w:r>
    </w:p>
    <w:p>
      <w:r>
        <w:rPr>
          <w:b/>
        </w:rPr>
        <w:t>E. 1.5</w:t>
      </w:r>
    </w:p>
    <w:p>
      <w:r>
        <w:t>(...) In Art. 24 des Rahmenvertrags wird sodann umschrieben, was unter einem Maler bzw. einem Gipser zu verstehen ist, bzw. welche technischen Verrichtungen unter diese Tätigkeiten fallen. Die Beschlüsse über die Allgemeinverbindlicherklärung der Rahmenverträge (BRB vom 25.7.1994, 15.3.1995 und 29.7.1996) übernehmen für den Anwendungsbereich wörtlich die aufgeführte Regelung. 2.- a) Das Kantonsgericht erwog, in betrieblicher (sachlicher) und persönlicher Hinsicht beanspruchten grundsätzlich beide Gesamtarbeitsverträge Gültigkeit. Da im Fall der Beklagten ein Mischbetrieb vorliege, komme dem LMV im sachlichen Geltungsbereich aber Vorrang zu. Denn die massgebliche Tätigkeit der Beklagten im Hoch- und Tiefbau gebe dem Betrieb als Ganzem das eigentliche Gepräge, so dass nach dem Prinzip der Tarifeinheit auch berufsfremde Arbeitnehmer und selbst berufsfremde Abteilungen vom Vertrag erfasst würden. Die Gipserarbeiten machten nur einen untergeordneten Anteil des Auftragsvolumens aus, welche die Beklagte bloss als zusätzliche Dienstleistung anbiete. Insgesamt aber trete sie nach aussen als Bauunternehmung auf. b) Der Kläger wirft dem Kantonsgericht sinngemäss eine Verletzung von Bundesrecht insofern vor als es die Tragweite des Branchenvertrags und des Prinzips der Tarifeinheit missverstehe. Schon eine normale Bauunternehmung, die nur Bauarbeiten ausführe, habe aufgrund der Einschränkung des persönlichen Geltungsbereichs in Art. 3 LMV mehrere Gesamtarbeitsverträge zu beachten, namentlich den allgemeinverbindlich erklärten LMV für das Baustellenpersonal, den ebenfalls allgemeinverbindlich erklärten Poliervertrag, den Baukadervertrag und den GAV für das kaufmännische Personal. Die Bestimmungen des vorliegenden LMV über den Geltungsbereich liessen sich nicht so auslegen, dass dieser auch für Betriebe und Betriebsteile im Maler- und Gipsergewerbe Anwendung finden könne. Zudem würde die Auslegung des Kantonsgerichts dazu führen, dass Bauunternehmungen, die als Mischbetriebe auch einen Betriebsteil für Gipserarbeiten führten, die (strengeren) Arbeitsbedingungen im Gipsereigewerbe unterlaufen und so für sich einen unlauteren Wettbewerbsvorteil gegenüber ihren Konkurrenten erzielen könnten. 3.- a) Sind die Anwendungsbereiche zweier Gesamtarbeitsverträge so umschrieben, dass grundsätzlich beide auf ein konkretes Arbeitsverhältnis Anwendung finden wollen, so liegt GAV-Konkurrenz vor (Vischer, Zürcher Kommentar, N 118 zu Art. 356 OR ; Stöckli, Berner Kommentar, N 67 zu Art. 356 OR ). Soweit ein GAV nichts anderes bestimmt, gelangt nach dem Prinzip der Tarifeinheit auf einen bestimmten Einzelarbeitsvertrag jedoch stets nur ein GAV zur Anwendung, damit der innere Zusammenhang eines Vertrags nicht gestört und weder Arbeitnehmer noch Arbeitgeber benachteiligt werden (Vischer, a.a.O., N 119 zu Art. 356 OR ; ähnlich Stöckli, a.a.O., N 67 zu Art. 356 OR ). Handelt es sich - wie vorliegend sowohl beim LMV als auch beim Rahmenvertrag - um einen Branchen- bzw. Industrievertrag, so gilt dieser wiederum nach dem Prinzip der Tarifeinheit grundsätzlich für den gesamten Betrieb (Stöckli, a.a.O., N 54 und N 67 zu Art. 356 OR ). Dadurch werden alle Mitarbeiterinnen und Mitarbeiter unabhängig von ihrer konkreten Tätigkeit erfasst (Stöckli, a.a.O., N 52 und N 67 zu Art. 356 OR ; Vischer, a.a.O., N 55 zu Art. 356 OR ), wobei regelmässig gewisse Funktionsstufen und besondere Anstellungsverhältnisse ausgenommen werden. Im Gegensatz zum Branchenvertrag knüpft der Berufsvertrag an persönliche Merkmale der betroffenen Arbeitnehmer an, insbesondere an die Berufsausbildung (Vischer, a.a.O., N 55 zu Art. 356 OR ). Während im Konkurrenzverhältnis von Berufs- und Branchenvertrag dieser mangels besonderer Abrede wegen des Prinzips der Tarifeinheit vorgeht (Stöckli, a.a.O., N 67 zu Art. 356 OR ), gibt es bei der GAV-Konkurrenz zwischen zwei Branchenverträgen keine starre Kollisionsregel. Vielmehr ist in erster Linie zu klären, ob die beiden Branchenverträge bezogen auf das konkrete Einzelarbeitsverhältnis in räumlicher, zeitlicher, persönlicher und insbesondere sachlicher Hinsicht kongruent sind und damit in echter Konkurrenz zueinander stehen. Bejahendenfalls ist sodann zu prüfen, ob einer der anwendbaren Gesamtarbeitsverträge eine Subsidiaritätsbestimmung enthält, welche dem anderen den Vortritt belässt. Hingegen ist eine Prioritätsbestimmung, wonach der eigene GAV vorgehe, nicht verbindlich, da damit in die Tarifautonomie der anderen Verbände eingegriffen würde (Stöckli, a.a.O., N 68 zu Art. 356 OR ; Vischer, a.a.O., N 120 zu Art. 356 OR ). b) Vorweg ist daher durch Auslegung zu ermitteln, ob die Anwendungsbereiche des LMV und des Rahmenvertrags für das konkrete Einzelarbeitsverhältnis tatsächlich kongruent sind. Dabei ist zu beachten, dass das massgebliche Zuordnungskriterium bei der Anwendung des Prinzips der Tarifeinheit die Art der Tätigkeit ist, die dem Betrieb oder dem selbständigen Betriebsteil - und nicht dem Unternehmen als wirtschaftlichem Träger allenfalls mehrerer Betriebe - das Gepräge gibt (Stöckli, a.a.O., N 53 zu Art. 356 OR ). Der Grundsatz der Tarifeinheit ist somit nicht strikt zu verstehen (Stöckli, a.a.O., N 67 zu Art. 356 OR ), sondern gilt nur dann für das Unternehmen als Ganzes, wenn kein anderer Branchenvertrag anwendbar ist, der das Arbeitsverhältnis ebenfalls in seiner Gesamtheit regeln will. Das macht insofern auch wirtschaftlich Sinn, als ein GAV der Vereinheitlichung der Wettbewerbsbedingungen innerhalb einer Branche dienen soll. c) Beide Verträge stellen zunächst fest, dass sie auch für einzelne Betriebsteile gelten können ( Art. 2 Abs. 1 LMV und Art. 1 Abs. 2 Rahmenvertrag). Insoweit sehen beide GAV eine Einschränkung des Prinzips der Tarifeinheit für Branchenverträge vor. Der Grundsatz der Tarifeinheit gilt somit nicht insgesamt für das wirtschaftlich einheitliche Unternehmen, sondern - wenn es sich um ein Mischunternehmen handelt - nur für den selbständigen Betrieb oder Betriebsteil. d) Von einem selbständigen Betrieb oder einem Betriebsteil innerhalb eines Mischunternehmens kann allerdings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Im Interesse der Rechtssicherheit ist zudem zu fordern, dass der Betriebsteil mit seinen besonderen Produkten oder Dienstleistungen insofern auch nach Aussen als entsprechender Anbieter gegenüber den Kunden in Erscheinung tritt. Demgegenüber bedarf der Betriebsteil keiner eigenen Verwaltung oder gar einer separaten Rechnungsführung, um als solcher gelten zu können. e) Ausschlaggebend ist somit, ob es sich bei der Beklagten um ein einheitliches Unternehmen des Bauhauptgewerbes handelt, welches nur nebenher Gipser- und Malerarbeiten durchführt, oder ob ein eigentliches Mischunternehmen vorliegt, welches neben einem Betrieb des Bauhauptgewerbes auch einen organisatorisch selbständigen Gipser- und Malerbetrieb bzw. -betriebsteil führt. f) Die Parteien sind sich einig, dass die Beklagte in erster Linie ein Unternehmen des Bauhauptgewerbes ist. Aber auch die Beklagte anerkennt, dass sie einen Betriebsteil hat, der Gipserarbeiten ausführt und darin rund ein Sechstel der Arbeitnehmenden beschäftigt. Sie hält allerdings dafür, es handle sich dabei nicht um einen Betrieb oder einen Betriebsteil im Maler- und Gipsergewerbe, sondern um einen Betriebsteil eines Hoch- und Tiefbaubetriebs, der in untergeordneter Weise Gipserarbeiten ausführe. Das Kantonsgericht hat dagegen in für das Bundesgericht verbindlicher Weise festgestellt, dass die Beklagte "daneben einen Betriebsteil für Gipserarbeiten führt" und der Kläger in erster Linie für diesen Betriebsteil tätig war. g) Aufgrund der tatsächlichen Feststellungen des Kantonsgerichts ist festzuhalten, dass die von der Beklagten angebotenen Gipserarbeiten innerhalb des Unternehmens von einer abgrenzbaren und nach aussen als Betriebsteil erkennbaren Einheit erbracht wurden, für welche die Anwendbarkeit des GAV selbständig zu bestimmen ist. Die in den beiden GAV normierten Anwendungsbereiche führen dabei zum Schluss, dass der Rahmenvertrag und nicht der LMV zur Anwendung gelangt. Insoweit ist der angefochtene Entscheid somit aufzuheben. 4.- Da die kantonalen Instanzen die Anwendbarkeit des Rahmenvertrags für das Maler- und Gipsergewerbe verneinten, mussten sie sich nicht zum Quantitativ des eingeklagten Anspruchs äussern. Mangels entsprechender Feststellungen ist die Sache daher an die Vorinstanz zu neuer Entscheidung zurückzuweisen.</w:t>
      </w:r>
    </w:p>
    <w:p>
      <w:r>
        <w:rPr>
          <w:b/>
        </w:rPr>
        <w:t>E. 2</w:t>
      </w:r>
    </w:p>
    <w:p>
      <w:r>
        <w:t>des Steinhauergewerbes,</w:t>
      </w:r>
    </w:p>
    <w:p>
      <w:r>
        <w:rPr>
          <w:b/>
        </w:rPr>
        <w:t>E. 3</w:t>
      </w:r>
    </w:p>
    <w:p>
      <w:r>
        <w:t>von Betonarbeiten, wie Betoninjektions- und Betonbohrarbeiten usw.. ,</w:t>
      </w:r>
    </w:p>
    <w:p>
      <w:r>
        <w:rPr>
          <w:b/>
        </w:rPr>
        <w:t>E. 4</w:t>
      </w:r>
    </w:p>
    <w:p>
      <w:r>
        <w:t>von Unterlagsböden, Abdichtungen und Isolationen usw.. ,</w:t>
      </w:r>
    </w:p>
    <w:p>
      <w:r>
        <w:rPr>
          <w:b/>
        </w:rPr>
        <w:t>E. 5</w:t>
      </w:r>
    </w:p>
    <w:p>
      <w:r>
        <w:t>Da der Streitwert unter Fr. 20'000.- liegt, ist keine Gerichtsgebühr zu erheben ( Art. 343 Abs. 3 OR ). Die Beklagte hat jedoch den Kläger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