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4C.34/2000 vom 24. April 2001</w:t>
      </w:r>
    </w:p>
    <w:p>
      <w:r>
        <w:t>Bundesgericht, 2001-04-24, DE</w:t>
      </w:r>
    </w:p>
    <w:p>
      <w:r>
        <w:rPr>
          <w:b/>
        </w:rPr>
        <w:t xml:space="preserve">Quelle: </w:t>
      </w:r>
      <w:r>
        <w:t>https://mcp.opencaselaw.ch/entscheid/bger_4C.34_2000</w:t>
      </w:r>
    </w:p>
    <w:p>
      <w:r>
        <w:t>FR: TF 4C.34/2000 du 24 avril 2001</w:t>
      </w:r>
    </w:p>
    <w:p>
      <w:r>
        <w:t>IT: TF 4C.34/2000 del 24 aprile 2001</w:t>
      </w:r>
    </w:p>
    <w:p>
      <w:pPr>
        <w:pStyle w:val="Heading2"/>
      </w:pPr>
      <w:r>
        <w:t>Erwägungen</w:t>
      </w:r>
    </w:p>
    <w:p>
      <w:r>
        <w:rPr>
          <w:b/>
        </w:rPr>
        <w:t>E. 2</w:t>
      </w:r>
    </w:p>
    <w:p>
      <w:r>
        <w:t>Vor Bundesgericht ist umstritten, ob der von den Parteien geschlossene Baurechtsvertrag aufgrund der Umzonung der Baurechtsgrundstücke in die Reservezone wegen Grundlagenirrtums unverbindlich ist oder ob ein Anwendungsfall der clausula rebus sic stantibus vorliegt, welche eine richterliche Vertragsanpassung zur Folge hätte. Der Beklagte vertritt in einem Eventualstandpunkt zudem die Auffassung, die Erfüllung des Baurechtsvertrags sei durch die Auszonung nachträglich unmöglich geworden ( Art. 119 OR ).</w:t>
      </w:r>
    </w:p>
    <w:p>
      <w:r>
        <w:t>Die Vorinstanz bejahte sowohl die Voraussetzungen des Grundlagenirrtums als auch der richterlichen Vertragsanpassung.</w:t>
      </w:r>
    </w:p>
    <w:p>
      <w:r>
        <w:t>Sie erwog, die Annahme eines Grundlagenirrtums führe zum gleichen Ergebnis wie die richterliche Vertragsanpassung an veränderte Verhältnisse, da bei Dauerschuldverhältnissen die Unverbindlichkeit des Vertrages ex nunc wirke.</w:t>
      </w:r>
    </w:p>
    <w:p>
      <w:r>
        <w:t>Das Handelsgericht bejahte das Vorliegen veränderter Umstände im Sinne der clausula rebus sic stantibus und gestand dem Beklagten in richterlicher Vertragsergänzung gemäss dem hypothetischen Parteiwillen für den Fall der Auszonung eine Kündigungsmöglichkeit mit einer Kündigungsfrist von 6 Monaten auf einen Zinstermin zu, weshalb der Baurechtsvertrag als auf den 1. Juli 1994 gekündigt zu gelten habe.</w:t>
      </w:r>
    </w:p>
    <w:p>
      <w:r>
        <w:rPr>
          <w:b/>
        </w:rPr>
        <w:t>E. 3</w:t>
      </w:r>
    </w:p>
    <w:p>
      <w:r>
        <w:t>a) Leidet der von den Parteien abgeschlossene Vertrag an einem Willensmangel, ist er nach der bundesgerichtlichen Rechtsprechung grundsätzlich von Anfang an ungültig und entfaltet folglich überhaupt keine Wirkungen ( BGE 114 II 131 E. 3b S. 142/3 mit Hinweisen). Selbst wenn vorliegend von einer Ungültigkeit ex nunc ausgegangen wird, verfügt der Irrende bei Bejahung eines Grundlagenirrtums über ein einseitiges - hier ausgeübtes - Gestaltungsrecht, sich vom Vertrag zu lösen. Demgegenüber setzen sowohl die Regelung von Art. 119 OR als auch die richterliche Vertragsanpassung aufgrund veränderter Verhältnisse den Bestand eines gültigen Vertrages voraus (Schmidlin, Berner Kommentar, N. 242 zu Art. 23/24 OR). Daraus folgt, dass in einem ersten Schritt zu prüfen ist, ob die Voraussetzungen für die Geltendmachung eines Grundlagenirrtums vorliegen; ist die Frage zu bejahen, führt dies zur Ungültigkeit des Vertrages, womit sich die Frage nach der Unmöglichkeit der Leistungserbringung nicht stellt und auch die Grundvoraussetzung für eine Vertragsanpassung dahinfällt.</w:t>
      </w:r>
    </w:p>
    <w:p>
      <w:r>
        <w:t>b) Bei der Beurteilung des Grundlagenirrtums ist davon auszugehen, dass Feststellungen über die Umstände des Vertragsschlusses sowie das Wissen und Wollen der Vertragsschliessenden Tatfragen beschlagen ( BGE 123 III 165 E. 3a S. 168; 117 II 273 E. 5a S. 279; 115 II 57 E. 1c S. 60, 264 E. 5a S. 269, je mit Hinweisen). Das kantonale Gericht beurteilt namentlich grundsätzlich abschliessend, ob und inwiefern sich eine Partei beim Vertragsschluss in einem Irrtum befand ( BGE 118 II 58 E. 3a S. 62 mit Hinweisen).</w:t>
      </w:r>
    </w:p>
    <w:p>
      <w:r>
        <w:t>c) aa) Auf einen Grundlagenirrtum im Sinne von Art. 24 Abs. 1 Ziff. 4 OR kann sich der Vertragsschliessende berufen, der sich über einen bestimmten Sachverhalt geirrt hat, der für ihn notwendige Vertragsgrundlage war, und den er zudem nach Treu und Glauben im Geschäftsverkehr als eine notwendige Grundlage des Vertrages betrachten durfte ( BGE 123 III 200 E. 2 S. 202; 118 II 58 E. 3b S. 62, 297 E. 2 S. 299). Diese Voraussetzungen gelten grundsätzlich auch für den Irrtum über einen künftigen Sachverhalt.</w:t>
      </w:r>
    </w:p>
    <w:p>
      <w:r>
        <w:t>bb) Nach Lehre und Rechtsprechung ist Art. 24 Ziff. 4 OR auf Irrtümer über Zukünftiges nur anwendbar, wenn der Irrende sich über einen bestimmten Sachverhalt geirrt ( BGE 118 II 297 E. 2c), d.h. eine konkrete Fehlprognose gestellt hat (Schmidlin, Berner Kommentar, N. 200 zu Art. 23/24 OR; Kramer, Berner Kommentar, N. 306 und 309 zu Art. 18 OR ).</w:t>
      </w:r>
    </w:p>
    <w:p>
      <w:r>
        <w:t>Dieses Erfordernis ergibt sich einerseits aus dem Gesetzeswortlaut und erleichtert anderseits die Bestimmung des Beginns der Anfechtungsfrist gemäss Art. 31 OR . Das Bundesgericht verlangt für die Bejahung eines Grundlagenirrtums über einen zukünftigen Sachverhalt zudem, dass auch die Gegenpartei nach Treu und Glauben im Geschäftsverkehr hätte erkennen müssen, dass die Sicherheit des Eintrittes des zukünftigen Ereignisses für die andere Partei Vertragsvoraussetzung war.</w:t>
      </w:r>
    </w:p>
    <w:p>
      <w:r>
        <w:t>Es legt überdies besonderes Gewicht auf die Voraussetzung, dass der Eintritt des dem Vertrag zugrundegelegten künftigen Ereignisses mit grosser Sicherheit angenommen werden durfte.</w:t>
      </w:r>
    </w:p>
    <w:p>
      <w:r>
        <w:t>Insbesondere darf die Möglichkeit, sich auf einen Grundlagenirrtum über einen zukünftigen Sachverhalt zu berufen, nicht zu einer Aushöhlung des Prinzips führen, wonach jeder Vertragspartner das Risiko unerwarteter künftiger Entwicklungen grundsätzlich selbst zu tragen hat. Art. 24 Abs. 1 Ziff. 4 OR soll namentlich nicht angerufen werden dürfen, um übertriebene Erwartungen und Hoffnungen zu sichern ( BGE 118 II 297 E. 2b und c; 117 II 218 E. 4 S. 224; 109 II 105 E. 4b/aa S. 111; Schmidlin, Berner Kommentar, N 199 ff. zu Art. 23/24 OR; Schwenzer, Basler Kommentar, N. 19 zu Art. 24 OR ; Kramer, Berner Kommentar, N. 306 zu Art. 18 OR ).</w:t>
      </w:r>
    </w:p>
    <w:p>
      <w:r>
        <w:t>d) Dem angefochtenen Urteil lässt sich nicht entnehmen, dass die Parteien bei Vertragsschluss konkrete Vorstellungen über die künftige zonenrechtliche Behandlung der Baurechtsgründstücke hatten. Es mangelt daher an einer Fehlvorstellung über einen hinreichend bestimmten Sachverhalt.</w:t>
      </w:r>
    </w:p>
    <w:p>
      <w:r>
        <w:t>Unter diesen Umständen ist die Annahme eines Grundlagenirrtums ausgeschlossen, womit der unvorhergesehenen künftigen Entwicklung allenfalls über die Regelung von Art. 119 OR (dazu E. 4) oder über die clausula rebus sic stantibus Rechnung getragen werden kann (Schmidlin, Berner Kommentar, N. 240/1 zu Art. 23/24 OR; Kramer, N. 309 zu Art. 18 OR ).</w:t>
      </w:r>
    </w:p>
    <w:p>
      <w:r>
        <w:rPr>
          <w:b/>
        </w:rPr>
        <w:t>E. 4</w:t>
      </w:r>
    </w:p>
    <w:p>
      <w:r>
        <w:t>Der Beklagte stellt sich in der Berufungsantwort wie schon im kantonalen Verfahren auf den Standpunkt, die Erfüllung des Baurechtsvertrages durch den Kläger sei durch die Auszonung nachträglich unmöglich geworden ( Art. 119 Abs. 1 OR ), weshalb gemäss Art. 119 Abs. 2 OR auch die Gegenleistung nicht geschuldet sei.</w:t>
      </w:r>
    </w:p>
    <w:p>
      <w:r>
        <w:t>Als Dienstbarkeit verpflichtet das Baurecht den Bodeneigentümer grundsätzlich zu einem passiven Verhalten (vgl. Art. 730 ZGB ). Dieses bestand im vorliegenden Fall darin, dass der Kläger die Erstellung und Beibehaltung von Bauten auf seinem Grundstück zu dulden hatte. An sich ist denkbar, dass auch diese Duldungspflicht unmöglich werden kann (Aepli, Zürcher Kommentar, N. 27 zu Art. 119 OR ). Dies setzt indessen voraus, dass die Unmöglichkeit entweder mit Gewissheit bis zum Vertragsende bestehen bleibt oder ihr Wegfall zumindest nicht abzusehen ist (Aepli, Zürcher Kommentar, N. 123 zu Art. 119; von Tuhr/Escher, Allgemeiner Teil des Schweizerischen Obligationenrechts, Band II, S. 96; Gauch, System der Beendigung von Dauerverträgen, S. 120).</w:t>
      </w:r>
    </w:p>
    <w:p>
      <w:r>
        <w:t>Gemäss § 65 Abs. 1 PBG /ZH soll in der Reservezone eine bestimmte Nutzung erst später zugelassen werden. Die Grundeigentümer haben periodisch - frühestens nach acht Jahren seit der Zuweisung - einen gesetzlichen Anspruch auf Überprüfung des Bauverbotes ( § 65 Abs. 4 PBG /ZH). Bezogen auf die hundertjährige Vertragsdauer ist die Dauer des Bauverbotes daher nicht unabsehbar. Eine Unmöglichkeit im Sinne von Art. 119 Abs. 1 OR ist deshalb zu verneinen. Damit kann offen bleiben, ob die Annahme der Unmöglichkeit auch daran scheitert, dass in der Reservezone eine Erstellung von Bauten nicht absolut ausgeschlossen ist.</w:t>
      </w:r>
    </w:p>
    <w:p>
      <w:r>
        <w:rPr>
          <w:b/>
        </w:rPr>
        <w:t>E. 5</w:t>
      </w:r>
    </w:p>
    <w:p>
      <w:r>
        <w:t>Es bleibt somit zu beurteilen, ob der strittige Baurechtsvertrag aufgrund der clausula rebus sic stantibus an die veränderten Umstände anzupassen ist.</w:t>
      </w:r>
    </w:p>
    <w:p>
      <w:r>
        <w:t>a) Zunächst stellt sich die Frage, ob der für Schuldverträge entwickelte Grundsatz der clausula rebus sic stantibus unbesehen auch auf Dienstbarkeiten als verdinglichte Rechtsinstitute, die sachenrechtlichen Gesetzmässigkeiten folgen, anwendbar sei. Diese Problematik erhält namentlich dort besonderes Gewicht, wo - wie das vorliegende Baurecht - die Dienstbarkeit im Rechtsverkehr den Grundstücken gleichgestellt worden ist, mithin ein selbständiges Rechtsobjekt darstellt, das seinerseits mit beschränkten dinglichen Rechten (insbesondere Pfandrechten) belastet werden kann (vgl. Art. 655 Abs. 2 Ziff. 2 i.V.m. Art. 779 Abs. 3 ZGB ).</w:t>
      </w:r>
    </w:p>
    <w:p>
      <w:r>
        <w:t>aa) Vorab ist festzuhalten, dass das Baurecht seinen Charakter als Dienstbarkeit nicht verliert, wenn es ins Grundbuch aufgenommen und damit im Rechtsverkehr den Grundstücken gleichgestellt wird (Hans Michael Riemer, Das Baurecht [Baurechtsdienstbarkeit] des Zivilgesetzbuches und seine Behandlung im Steuerrecht, Diss. Zürich 1968, S. 32 f.; Liver, Über die Baurechtsdienstbarkeit, in: ZBJV 94/1958 S. 379 f.). Konsequenz dieser Aufnahme ins Grundbuch ist für die hier interessierenden Fragen im Wesentlichen bloss, dass eine - vorzeitige - Löschung des Baurechts durch Verzicht des Bauberechtigten nur mit Zustimmung der daran dinglich Berechtigten möglich ist ( Art. 964 ZGB ; Liver, Zürcher Kommentar, N. 43 f. zu Art. 734 ZGB ; Hans-Ulrich Freimüller, Die Baurechtsdienstbarkeit im System der dinglichen Rechte, Diss. Bern 1967, S. 48 f.; Homberger, Zürcher Kommentar, N. 11 zu Art. 964 ZGB ). Im vorliegenden Fall ist allerdings weder festgestellt noch geltend gemacht, dass Drittrechte am Baurecht dessen Untergang und Löschung durch Verzicht des Berechtigten entgegenstehen.</w:t>
      </w:r>
    </w:p>
    <w:p>
      <w:r>
        <w:t>bb) Durch den Verzicht des Berechtigten erlöschen für die Parteien alle Rechte und Pflichten aus dem Dienstbarkeitsverhältnis (Liver, Zürcher Kommentar, N. 74 zu Art. 730 und N. 87 ff. zu Art. 741 ZGB ). Der Baurechtszins ist jedoch weder Akzessorium zum dinglichen Recht noch realobligatorische Verpflichtung (im Sinne von Art. 730 Abs. 2 ZGB ) daraus, sondern eine rein obligatorische Verpflichtung, deren Erfüllung der ursprünglich Berechtigte aus Vertrag schuldet, und die er bei fehlender externer Schuldübernahme auch bei Veräusserung des Baurechts weiterhin zu erfüllen hat ( BGE 52 II 27 E. 1 S. 37; Isler, Der Baurechtsvertrag und seine Ausgestaltung, Diss. Zürich 1973, S. 44 ff. und 132; Freimüller, a.a.O., S. 75 f.).</w:t>
      </w:r>
    </w:p>
    <w:p>
      <w:r>
        <w:t>Bewirken veränderte Verhältnisse eine wesentliche Äquivalenzstörung zu Lasten des Belasteten, kann dieser die Dienstbarkeit gerichtlich aufheben lassen ( Art. 736 ZGB ).</w:t>
      </w:r>
    </w:p>
    <w:p>
      <w:r>
        <w:t>Darin erschöpft sich für ihn der Rechtsschutz aus der clausula; sie vermag über den Anwendungsbereich von Art. 736 ZGB hinaus keine Wirkung zu entfalten (lex specialis oder erschöpfte Durchgangsfunktion von Art. 2 ZGB ; Liver, Zürcher Kommentar, N. 89 zu Art. 734 und N. 36 ff. zu Art. 736 ZGB ; Merz, Berner Kommentar, N. 42 und 247 zu Art. 2 ZGB ).</w:t>
      </w:r>
    </w:p>
    <w:p>
      <w:r>
        <w:t>Der Berechtigte, welcher Nebenverpflichtungen im Sinne von Art. 730 Abs. 2 ZGB zu erfüllen hat, kann sich diesen durch Verzicht auf die Dienstbarkeit entschlagen. Darüber hinaus wird ihm aber auch die Berufung auf die clausula zugestanden. Daraus kann die Leistungspflicht reduziert oder aufgehoben werden ( BGE 45 II 386 E. 5 S. 396 ff.; Merz, Berner Kommentar, N. 247 zu Art. 2 ZGB ), ohne dass deswegen die Dienstbarkeit automatisch untergeht. Allerdings kann die Aufhebung oder Änderung der Leistungspflicht im Gegenzug dem Belasteten einen Anspruch geben, seinerseits aus Art. 736 ZGB vorzugehen und die Aufhebung der Dienstbarkeit zu verlangen (Liver, Zürcher Kommentar, N. 243 zu Art. 730, N. 89 zu Art. 734 und N. 36 ff. zu Art. 736 ZGB ).</w:t>
      </w:r>
    </w:p>
    <w:p>
      <w:r>
        <w:t>Dasselbe muss a fortiori für eine nicht akzessorische, rein obligatorische Verpflichtung aus dem Dienstbarkeitsvertrag gelten. Sind die Voraussetzungen der clausula gegeben, darf der Richter daher in den Vertrag eingreifen, um die Äquivalenzstörung zu beheben. Geht es um eine Gegenleistung für das dienstbarkeitsrechtliche Dulden oder Unterlassen, stehen ihm dabei theoretisch die Möglichkeiten einer vorzeitigen Beendigung des Vertrags oder einer Preisanpassung offen (dazu unten E. 6b). Auf den Bestand der Dienstbarkeit als dingliches Recht hat sein Urteil vorerst keinen Einfluss (a.A. Heinrich Mayrhofer, Abstehen vom Vertrag aus wichtigem Grund bei Dienstbarkeiten?, österreichische Juristische Blätter 1974 S. 593 ff.). Insbesondere greift Art. 82 OR nicht in dem Sinne, dass die Aufhebung oder Reduktion der Gegenleistung nur gegen vollen oder teilweisen Verzicht des Berechtigten erfolgen dürfte. Dass der Kläger die Einrede gemäss Art. 82 OR erhoben hätte, ist im Übrigen weder festgestellt noch dargetan.</w:t>
      </w:r>
    </w:p>
    <w:p>
      <w:r>
        <w:t>Nach dem Gesagten steht einer Anwendung der clausula rebus sic stantibus auf die obligatorischen Bestimmungen des strittigen Baurechtsvertrages grundsätzlich nichts entgegen, womit sich die Frage stellt, ob die Voraussetzungen der richterlichen Vertragsanpassung gegeben sind.</w:t>
      </w:r>
    </w:p>
    <w:p>
      <w:r>
        <w:t>b) Ein richterlicher Eingriff in einen Vertrag aufgrund veränderter Umstände setzt nach herrschender Auffassung unabhängig von der dogmatischen Grundlage (dazu Gauch, Auslegung, Ergänzung und Anpassung schuldrechtlicher Verträge, in: Gauch/Schmid [Hrsg. ], Die Rechtsentwicklung an der Schwelle zum 21. Jahrhundert, S. 234; Schwenzer, Schweizerisches Obligationenrecht, Allgemeiner Teil [OR AT], 2. Aufl. , S. 223, je mit Hinweisen) voraus, dass die Verhältnisänderung weder vorhersehbar noch vermeidbar war, für Fälle wie den vorliegenden eine gravierende Äquivalenzstörung zur Folge hat und der Vertrag nicht vorbehaltlos erfüllt wurde (vgl. BGE 122 III 97 E. 3a mit Hinweisen; aus der Lehre statt vieler Schwenzer, OR AT, S. 223; Gauch/Schluep/Schmid, Schweizerisches Obligationenrecht Allgemeiner Teil, 7. Aufl. , Rz. 1298 ff.; Baumann, Zürcher Kommentar, N. 455 zu Art. 2 ZGB ; Wiegand, Basler Kommentar, N. 99 ff. zu Art. 18 OR ; Kramer, Berner Kommentar, N. 337 ff. zu Art. 18 OR ).</w:t>
      </w:r>
    </w:p>
    <w:p>
      <w:r>
        <w:t>aa) Die Vorinstanz hielt in tatsächlicher Hinsicht fest, dass die Parteien im Zeitpunkt des Vertragsschlusses mit einer Zuweisung der Baurechtsgrundstücke in die Reservezone nicht rechneten. Damit ist allerdings die Rechtsfrage nicht entschieden, ob die Verhältnisänderung auch nicht vorausgesehen werden konnte (Jäggi/Gauch, Zürcher Kommentar, N. 666 zu Art. 18 OR ).</w:t>
      </w:r>
    </w:p>
    <w:p>
      <w:r>
        <w:t>Nach der Rechtsprechung müssen die Parteien bei langfristigen Verträgen damit rechnen, dass sich die zur Zeit des Vertragsabschlusses bestehenden Verhältnisse später ändern. Namentlich Änderungen der Gesetzeslage gelten grundsätzlich nicht als unvorhersehbar (Wiegand, Basler Kommentar, N. 103 zu Art. 18 OR ; Kramer, Berner Kommentar, N. 339 zu Art. 18 OR ). Sehen die Parteien ausdrücklich oder sinngemäss davon ab, den Einfluss solcher Änderungen auf die gegenseitigen Leistungen auszuschliessen, so entspricht es grundsätzlich dem Wesen des Vertrages, dass er so erfüllt wird, wie er abgeschlossen worden ist ( BGE 107 II 343 E. 2 S. 347; 104 II 314 E. II/1a S. 315). Waren die nachträglich eingetretenen Umstände jedoch nicht vorauszusehen, so kann von einem ausdrücklichen oder sinngemässen Verzicht auf eine Vertragsanpassung nicht die Rede sein. Dabei ist die Voraussehbarkeit auch dann zu verneinen, wenn eine Verhältnisänderung wie etwa die Änderung der gesetzlichen Grundlagen als solche zwar vorhersehbar war, nicht aber deren Art, Umfang und Auswirkungen auf den Vertrag (Jäggi/Gauch, Zürcher Kommentar, N. 670 zu Art. 18 OR ; Kramer, Berner Kommentar, N. 340 zu Art. 18 OR ).</w:t>
      </w:r>
    </w:p>
    <w:p>
      <w:r>
        <w:t>bb) Die Vorinstanz erwog, die Baurechtsgrundstücke hätten im Zeitpunkt des Vertragsschlusses in der Bauzone gelegen.</w:t>
      </w:r>
    </w:p>
    <w:p>
      <w:r>
        <w:t>Vor dem Vertragsschluss habe die Gemeinde Adliswil eine - allerdings erst 1975 vom Regierungsrat genehmigte - Teilbauordnung für das in Frage stehende Gebiet erlassen, durch welche die planungs- und baurechtlichen Voraussetzungen für das Projekt "Jolieville" hätten geschaffen werden sollen. Für eine baldige Redimensionierung der Bauzone hätten überhaupt keine Anzeichen vorgelegen. Daran vermöge auch der im Zeitpunkt des Vertragsschlusses geltende befristete Baustopp nichts zu ändern, denn dieser sei konjunkturpolitisch und nicht raumplanerisch motiviert gewesen. Weder das Raumplanungsgesetz noch das zürcherische Bau- und Planungsgesetz hätten im Zeitpunkt des Vertragsschlusses bestanden.</w:t>
      </w:r>
    </w:p>
    <w:p>
      <w:r>
        <w:t>cc) Dem Kläger ist darin beizupflichten, dass zumal bei langfristigen Verträgen grundsätzlich mit einer Änderung der bau- und planungsrechtlichen Grundlagen gerechnet werden muss. Aus den von der Vorinstanz für das Bundesgericht verbindlich getroffenen Feststellungen lässt sich indessen nicht der Schluss ziehen, dass im Zeitpunkt des Vertragsschlusses die Auszonung der Baurechtsgrundstücke vorhersehbar war. Die laufenden Planungsmassnahmen zielten vielmehr gerade in die gegenteilige Richtung, sollten damit doch die Grundlagen für die Verwirklichung des Projektes "Jolieville" und damit den Bau einer Satellitenstadt geschaffen werden.</w:t>
      </w:r>
    </w:p>
    <w:p>
      <w:r>
        <w:t>Das Bundesgericht hat seiner Beurteilung zudem namentlich die vorinstanzliche Feststellung zugrunde zu legen, wonach bei Vertragsschluss für eine baldige Auszonung der Baurechtsgrundstücke keine Indizien bestanden hätten. Unter diesen Umständen verstösst es nicht gegen Bundesrecht, wenn die konkrete Art und der Umfang der eingetretenen Verhältnisänderung trotz deren genereller Voraussehbarkeit als unvorhersehbar beurteilt wird. Dass diese vermeidbar gewesen oder der Vertrag vorbehaltlos erfüllt worden wäre, macht der Kläger zu Recht nicht geltend.</w:t>
      </w:r>
    </w:p>
    <w:p>
      <w:r>
        <w:t>c) Die Parteien orientierten sich bei der Festlegung des Baurechtszinses am Verkehrswert der Baurechtsgrundstücke, welche im Zeitpunkt des Vertragsschlusses in der Bauzone lagen. Die Umzonung von der Bau- in die Reservezone verminderte diesen Verkehrswert erheblich. Gemäss den Feststellungen der Vorinstanz sind die Baurechtsgrundstücke nach deren Umzonung in die Reservezone nur noch für eine landwirtschaftliche Pacht nutzbar, wobei sich ein angemessener Pachtzins auf einen Bruchteil des vereinbarten Baurechtszinses belaufen würde. Unter diesen Umständen ist davon auszugehen, dass das Gleichgewicht der auszutauschenden Leistungen durch die Umzonung der Baurechtsgrundstücke erheblich beeinträchtigt wurde, womit die Vorinstanz eine gravierende Äquivalenzstörung bundesrechtskonform bejaht hat.</w:t>
      </w:r>
    </w:p>
    <w:p>
      <w:r>
        <w:t>Die Voraussetzungen für eine richterliche Anpassung des Vertrages an veränderte Umstände sind somit gegeben.</w:t>
      </w:r>
    </w:p>
    <w:p>
      <w:r>
        <w:rPr>
          <w:b/>
        </w:rPr>
        <w:t>E. 6</w:t>
      </w:r>
    </w:p>
    <w:p>
      <w:r>
        <w:t>a) Der aufgrund veränderter Umstände gebotene richterliche Eingriff in den Vertrag kollidiert mit dem Prinzip der Vertragstreue und wirkt sich unweigerlich zu Lasten einer der Parteien aus. Bei der Zuweisung des Änderungsrisikos ist dabei in erster Linie auf eine allfällige privatautonome Regelung und sodann auf die dispositiven gesetzlichen Anpassungsregeln zurückzugreifen (Wiegand, Basler Kommentar, N. 118 zu Art. 18 OR ; Jäggi/Gauch, Zürcher Kommentar, N. 575 ff. zu Art. 18 OR ), wie dies der in den Grundzügen in Lehre und Rechtsprechung unbestrittenen Stufenordnung der Risikoverteilungsregeln entspricht (dazu Baumann, Zürcher Kommentar, N. 453 f. zu Art. 2 ZGB mit Hinweisen). Mangelt es an einer solchen vertraglichen oder gesetzlichen Regel, ist für die richterliche Vertragsanpassung auf den hypothetischen Parteiwillen abzustellen (Schwenzer, OR AT, S. 224; Gauch/Schluep/Schmid, a.a.O., Rz. 1289; Wiegand, Basler Kommentar, N. 118 zu Art. 18 OR ; Kramer, Berner Kommentar, N. 326 und 358 zu Art. 18 OR ; Jäggi/Gauch, Zürcher Kommentar, N. 651 zu Art. 18 OR ). Das Gericht hat demnach zu ermitteln, was die Parteien nach dem Grundsatz von Treu und Glauben vereinbart haben würden, wenn sie den eingetretenen Verlauf der Dinge in Betracht gezogen hätten. Dabei hat es sich am Denken und Handeln vernünftiger und redlicher Vertragspartner sowie an Wesen und Zweck des konkret in Frage stehenden Vertrages zu orientieren. Das Ergebnis dieser normativen Tätigkeit überprüft das Bundesgericht im Berufungsverfahren grundsätzlich als Rechtsfrage ( BGE 115 II 484 E. 4b S. 488 mit Hinweisen).</w:t>
      </w:r>
    </w:p>
    <w:p>
      <w:r>
        <w:t>b) Als Hauptfolgen richterlicher Vertragsanpassung kommen die vorzeitige Vertragsauflösung einerseits und eine Modifikation der vertraglichen Leistungspflichten anderseits in Betracht ( BGE 59 II 372 E. 2; 122 III 97 E. 3a S. 98; 100 II 345 E. 2b S. 349; 97 II 390 E. 6 S. 398; 68 II 169 E. 2 S. 173; Gauch/Schluep/Schmid, a.a.O., Rz. 1291; Wiegand, Basler Kommentar, N. 118 zu Art. 18 OR ; Kramer, Berner Kommentar, N. 353 zu Art. 18 OR , je mit Hinweisen). Bei der Bestimmung der im Einzelfall aufgrund des hypothetischen Parteiwillens sachgerechten Anpassungsfolge steht dem Sachgericht ein gewisser Ermessensspielraum zu (so ausdrücklich Art. 373 Abs. 2 OR ; vgl. auch BGE 115 II 484 E. 4b S. 488 mit Hinweis; Jäggi/Gauch, Zürcher Kommentar, N. 652 zu Art. 18 OR ). Nach ständiger Rechtsprechung übt das Bundesgericht bei der Überprüfung derartiger Ermessensentscheide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hebt Ermessensentscheide ausserdem auf, wenn sie sich im Ergebnis als offensichtlich unbillig, als in stossender Weise ungerecht erweisen ( BGE 126 III 266 E. 2b S. 273; 123 III 246 E. 6a S. 255, je mit Hinweisen).</w:t>
      </w:r>
    </w:p>
    <w:p>
      <w:r>
        <w:t>c) Die Vorinstanz ging bei der Bestimmung der Anpassungsfolgen davon aus, dass sich die Rechtsform des Baurechtsvertrages weder für die landwirtschaftliche Nutzung noch dafür eigne, Land in der Reservezone zu horten und darauf zu warten, dass es dereinst zu Bauland umgezont werde.</w:t>
      </w:r>
    </w:p>
    <w:p>
      <w:r>
        <w:t>Eine Überprüfung der Bauzonendimensionierung könne gemäss § 65 Abs. 4 PBG /ZH frühestens acht Jahre nach der letzten Revision des Zonenplanes beantragt werden, wobei Dauer und Resultat des Zonenerweiterungsverfahrens ungewiss seien.</w:t>
      </w:r>
    </w:p>
    <w:p>
      <w:r>
        <w:t>Angesichts der Tatsache, dass bereits mehr als ein Viertel der Vertragsdauer abgelaufen sei und der Kläger nicht behaupte, eine andere Anpassungsregel würde dem hypothetischen Willen und dem Vertragszweck besser entsprechen, komme als Anpassung an die veränderten Verhältnisse nur die Vertragsauflösung in Frage. Das Handelsgericht erachtete sodann eine Kündigungsfrist von 6 Monaten auf einen Zinstermin am naheliegendsten, weshalb der Baurechtsvertrag aufgrund des Kündigungsschreibens des Beklagten vom 15. September 1993 auf den 1. Juli 1994 aufgelöst worden sei.</w:t>
      </w:r>
    </w:p>
    <w:p>
      <w:r>
        <w:t>Der Kläger vertritt die Auffassung, dass bereits die Voraussetzungen der clausula rebus sic stantibus nicht vorliegen. Diese Ansicht erwies sich als unzutreffend (oben E. 5). Darüber hinaus vermag er keine Umstände darzutun, welche die Ermessensausübung durch die Vorinstanz als bundesrechtswidrig erscheinen liessen. Solche sind denn auch nicht ersichtlich. Die Vorinstanz konnte bundesrechtskonform annehmen, die Parteien hätten als redlich handelnde Vertragspartner eine Kündigungsmöglichkeit auf einen Zinstermin vereinbart, wenn sie die Möglichkeit einer Umzonung der Baurechtsgrundstücke in die Reservezone bedacht hätten. Diese Lösung trägt namentlich der Tatsache Rechnung, dass der Beklagte aus einem Baurecht an einem Grundstück in der Reservezone keinen vernünftigen Nutzen ziehen kann und deshalb nicht anzunehmen ist, dass die Vertragspartner das Risiko der Umzonung in guten Treuen dem Beklagten zugewiesen hätten, falls sie die nachfolgende Entwicklung bei Vertragsschluss in Betracht gezogen hätten. Die von der Vorinstanz ermittelte Kündigungsfrist von 6 Monaten, welche sich an den halbjährlichen Zinsterminen orientiert, ist ebenfalls angemessen.</w:t>
      </w:r>
    </w:p>
    <w:p>
      <w:r>
        <w:t>Ist somit das angefochtene Urteil zu bestätigen, kann offen bleiben, ob auch eine andere Anpassungsfolge als die Vertragsauflösung von den Rechtsbegehren der Parteien gedeckt gewesen wäre.</w:t>
      </w:r>
    </w:p>
    <w:p>
      <w:r>
        <w:rPr>
          <w:b/>
        </w:rPr>
        <w:t>E. 7</w:t>
      </w:r>
    </w:p>
    <w:p>
      <w:r>
        <w:t>Damit erweisen sich die Rügen des Klägers als unbegründet, weshalb die Berufung abzuweisen ist.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