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4C.346/2003 vom 26. Oktober 2004</w:t>
      </w:r>
    </w:p>
    <w:p>
      <w:r>
        <w:t>Bundesgericht, 2004-10-26, FR</w:t>
      </w:r>
    </w:p>
    <w:p>
      <w:r>
        <w:rPr>
          <w:b/>
        </w:rPr>
        <w:t xml:space="preserve">Quelle: </w:t>
      </w:r>
      <w:r>
        <w:t>https://mcp.opencaselaw.ch/entscheid/bger_4C.346_2003</w:t>
      </w:r>
    </w:p>
    <w:p>
      <w:r>
        <w:t>FR: TF 4C.346/2003 du 26 octobre 2004</w:t>
      </w:r>
    </w:p>
    <w:p>
      <w:r>
        <w:t>IT: TF 4C.346/2003 del 26 ottobre 2004</w:t>
      </w:r>
    </w:p>
    <w:p>
      <w:pPr>
        <w:pStyle w:val="Heading2"/>
      </w:pPr>
      <w:r>
        <w:t>Erwägungen</w:t>
      </w:r>
    </w:p>
    <w:p>
      <w:r>
        <w:rPr>
          <w:b/>
        </w:rPr>
        <w:t>E. 1.1</w:t>
      </w:r>
    </w:p>
    <w:p>
      <w:r>
        <w:t>Interjeté par la partie qui a succombé dans ses conclusions libératoires et reconventionnelles et dirigé contre un jugement final rendu en dernière instance cantonale par un tribunal supérieur ( art. 48 al. 1 OJ ) sur une contestation civile (cf. ATF 130 III 102 consid. 1.1; 129 III 415 consid. 2.1) dont la valeur litigieuse atteint le seuil de 8'000 fr. ( art. 46 OJ ), le présent recours en réforme est en principe recevable, puisqu'il a été déposé en temps utile (art. 32 al. 2 et 54 al. 1 OJ; art. 1 de la loi fédérale du 21 juin 1963 sur la supputation des délais expirant un samedi) et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p. 252).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L'acte de recours doit indiquer quelles sont les règles de droit fédéral violées par la décision attaquée et en quoi consiste cette violation ( art. 55 al. 1 let . c OJ). Il n'est pas nécessaire de citer expressément les articles de loi. En revanche, il est indispensable que le recourant discute effectivement les motifs de la décision attaquée, qu'il précise quelles règles du droit fédéral auraient été violées et indique pourquoi elles auraient été méconnues. Des considérations générales, sans lien manifeste ni même perceptible avec des motifs déterminés de la décision entreprise, ne répondent pas à ces exigences ( ATF 116 II 745 consid. 3 p. 749).</w:t>
      </w:r>
    </w:p>
    <w:p>
      <w:r>
        <w:rPr>
          <w:b/>
        </w:rPr>
        <w:t>E. 1.4</w:t>
      </w:r>
    </w:p>
    <w:p>
      <w:r>
        <w:t>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p. 29). Un recours peut donc être admis pour d'autres motifs que ceux invoqués par le recourant et il peut également être rejeté sur la base d'une autre argumentation juridique que celle retenue par l'autorité cantonale ( ATF 130 III 136 consid. 1.4; 127 III 248 consid. 2c p. 252 s.).</w:t>
      </w:r>
    </w:p>
    <w:p>
      <w:r>
        <w:rPr>
          <w:b/>
        </w:rPr>
        <w:t>E. 2</w:t>
      </w:r>
    </w:p>
    <w:p>
      <w:r>
        <w:t>La recourante invoque d'abord l' art. 8 CC . Elle reproche à l'instance cantonale de lui avoir refusé - à tort - un complément d'expertise et d'avoir procédé à une appréciation erronée des deux rapports d'expertise présents dans la procédure.</w:t>
      </w:r>
    </w:p>
    <w:p>
      <w:r>
        <w:rPr>
          <w:b/>
        </w:rPr>
        <w:t>E. 2.1</w:t>
      </w:r>
    </w:p>
    <w:p>
      <w:r>
        <w:t>Pour toutes les prétentions fondées sur le droit civil fédéral, l' art. 8 CC , en l'absence de règles contraires, répartit le fardeau de la preuve et détermine, sur cette base, laquelle des parties doit assumer les conséquences de l'échec de la preuve ( ATF 130 III 321 consid. 3.1; 129 III 18 consid. 2.6; 127 III 519 consid. 2a). L' art. 8 CC ne prescrit cependant pas quelles sont les mesures probatoires qui doivent être ordonnées et ne dicte pas au juge comment il doit former sa conviction. Ainsi, lorsque l'appréciation des preuves le convainc de la réalité ou de l'inexistence d'un fait, la question de la répartition du fardeau ne se pose plus ( ATF 129 III 271 consid. 2b/aa in fine). Seul le moyen tiré d'une appréciation arbitraire des preuves, à invoquer impérativement dans un recours de droit public, est alors recevable ( ATF 127 III 519 consid. 2a p. 522; 122 III 219 consid. 3c p. 223).</w:t>
      </w:r>
    </w:p>
    <w:p>
      <w:r>
        <w:t>Certes, la distinction entre moyens à invoquer dans un recours de droit public et griefs à élever dans un recours en réforme peut être délicate lorsqu'il est question du droit à la preuve. Dans les cas habituels où le juge refuse une mesure probatoire parce qu'il considère qu'elle est impropre à prouver un fait ou que le fait est déjà prouvé, il se prononce sur la valeur probante des moyens de preuve; de même s'il retient (ou écarte) un fait à la suite d'un raisonnement ou en invoquant des preuves (même de manière insoutenable), il procède à une appréciation des preuves qui ne peut pas être remise en cause par le biais d'une prétendue violation de l' art. 8 CC . Ce n'est que lorsque le juge refuse une offre de preuve en considérant - à tort - que le fait est sans pertinence ou lorsqu'il admet (ou écarte) un fait contesté sans aucun raisonnement juridique qu'on doit conclure qu'il élude et viole en conséquence l' art. 8 CC , ce qui ouvre la voie au recours en réforme (cf. Corboz, Le recours en réforme au Tribunal fédéral, SJ 2000 II p. 1 ss, spéc. p. 41).</w:t>
      </w:r>
    </w:p>
    <w:p>
      <w:r>
        <w:rPr>
          <w:b/>
        </w:rPr>
        <w:t>E. 2.2</w:t>
      </w:r>
    </w:p>
    <w:p>
      <w:r>
        <w:t>S'écartant de l'état de fait souverainement retenu par l'autorité cantonale ( art. 63 al. 2 OJ ), la recourante expose qu'elle a requis un complément d'expertise que le juge instructeur a dans un premier temps accordé - prenant acte du fait que l'expert concerné déclinait la mission, notamment au motif qu'il serait probablement amené à confirmer ses précédentes réponses - avant de renoncer à l'ordonner au motif qu'il aurait pour seul effet de prolonger la procédure.</w:t>
      </w:r>
    </w:p>
    <w:p>
      <w:r>
        <w:t>Dans la mesure où le Tribunal fédéral peut entrer en matière sur ces faits, il convient de retenir que les expertises apparaissent complètes puisqu'elles répondent à toutes les questions posées. La recourante n'expose d'ailleurs pas précisément dans ses écritures sur quel point une précision de l'expertise aurait été nécessaire. A teneur des explications de celle-ci, le refus d'accorder un complément d'expertise s'explique notamment par le fait que l'expert aurait probablement confirmé ses précédentes réponses. En estimant que la mesure sollicitée n'aurait qu'un effet dilatoire, le juge instructeur a implicitement fait sienne cette motivation.</w:t>
      </w:r>
    </w:p>
    <w:p>
      <w:r>
        <w:t>Dans ces circonstances, le refus d'ordonner un complément d'expertise - fondé sur une appréciation, même discutable, des preuves - ne viole pas le droit à la preuve consacré par l' art. 8 CC . S'agissant de déterminer le montant d'un ouvrage au sens des art. 373 ss CO , on ne se trouve pas dans un domaine où le droit fédéral imposerait des règles particulières en matière de degré de preuve: dès lors, l'appréciation du juge relève du seul droit cantonal dont l'éventuelle violation ne peut pas être invoquée dans un recours en réforme.</w:t>
      </w:r>
    </w:p>
    <w:p>
      <w:r>
        <w:t>Le premier grief doit de la recourante donc être déclaré irrecevable.</w:t>
      </w:r>
    </w:p>
    <w:p>
      <w:r>
        <w:rPr>
          <w:b/>
        </w:rPr>
        <w:t>E. 2.3</w:t>
      </w:r>
    </w:p>
    <w:p>
      <w:r>
        <w:t>La recourante reproche ensuite à la cour cantonale d'avoir "procédé à une mauvaise appréciation des preuves en écartant le rapport motivé et chiffré d'un expert, pour ne retenir que les considérations d'un ingénieur (...)".</w:t>
      </w:r>
    </w:p>
    <w:p>
      <w:r>
        <w:t>Sur le fond, la recourante s'en prend aux motifs qui ont amené les juges cantonaux à préférer les conclusions d'un expert par rapport à celles d'un autre. La situation est ainsi la même que lorsqu'une procédure fait apparaître des témoignages contradictoires. Il appartient alors au juge de se forger librement sa conviction, par une opération où - sous réserve d'un degré de preuve fixé par le droit fédéral - la question de l'application de l' art. 8 CC ne se pose plus, ce qui ferme toute voie à un recours en réforme (s'agissant de l'appréciation de la valeur probante d'une expertise, cf. arrêt 5C.67/2002 du 15 avril 2002, publié in SJ 2002 I 514, consid. 3a p. 514; ATF 98 II 265 consid. II/2 p. 267).</w:t>
      </w:r>
    </w:p>
    <w:p>
      <w:r>
        <w:t>Le second grief soulevé par la recourante apparaît ainsi également irrecevable.</w:t>
      </w:r>
    </w:p>
    <w:p>
      <w:r>
        <w:rPr>
          <w:b/>
        </w:rPr>
        <w:t>E. 3</w:t>
      </w:r>
    </w:p>
    <w:p>
      <w:r>
        <w:t>La recourante se plaint ensuite d'une violation des dispositions relatives à la fixation du prix de l'ouvrage, soit des art. 363 et 372 à 374 CO. A son avis, la facturation litigieuse aurait dû suivre les règles des art. 373 et 374 CO puisque ses prestations prévoyaient des prix unitaires et des prestations en régie. Il en résulterait que l'intimée lui devrait la somme de 89'775 fr. 85 - soit la différence entre le montant fixé par le premier expert (1'451'755 fr. 85) et les acomptes versés (1'362'000 fr.) - alors que la cour cantonale - se fondant sur la conclusion du second expert (1'403'633 fr. 20) - n'a retenu en sa faveur qu'un solde de 41'633 fr. 20.</w:t>
      </w:r>
    </w:p>
    <w:p>
      <w:r>
        <w:rPr>
          <w:b/>
        </w:rPr>
        <w:t>E. 3.1</w:t>
      </w:r>
    </w:p>
    <w:p>
      <w:r>
        <w:t>A teneur de l' art. 363 CO , le paiement du prix constitue l'obligation principale du maître d'ouvrage. Les art. 373 à 375 CO déterminent les règles relatives à la fixation du prix. Aux termes de l' art. 373 al. 1 CO , lorsque le prix a été fixé à forfait, l'entrepreneur est tenu d'exécuter l'ouvrage pour la somme fixée; sauf circonstances extraordinaires et imprévisibles ( art. 373 al. 2 CO ), c'est l'entrepreneur qui supporte seul le risque du prix. Lorsque, en revanche, les parties conviennent de prix effectifs ("d'après la valeur du travail": art. 374 CO ), ce risque est supporté par le maître; il en va de même en cas de dépassement non excessif du devis au sens de l' art. 375 CO (cf. Chaix, Commentaire romand, n. 2 ad art. 373 CO ).</w:t>
      </w:r>
    </w:p>
    <w:p>
      <w:r>
        <w:t>La partie qui prétend à l'existence de prix fermes au sens de l' art. 373 CO - qu'il s'agisse de prix forfaitaire ou de prix unitaire (sur ces notions, cf. Chaix, op. cit., n. 6 ss ad art. 373 CO ; Gauch, Le contrat d'entreprise, adaptation française par Benoît Carron, Zurich 1999, n. 900 ss p. 265 ss) - a la charge de la preuve (Gauch, op. cit., n. 1014 p. 297; en ce sens également, cf. Baurecht/Droit de la construction 2001, n. 261 p. 80). En cas de doute, on retient qu'il s'agit de prix effectifs puisque l' art. 374 CO a pour but de compléter l' art. 373 CO (cf. Chaix, op. cit., n. 1 ad art. 374 CO ; Gauch, op. cit., n. 1014 p. 297).</w:t>
      </w:r>
    </w:p>
    <w:p>
      <w:r>
        <w:t>Quant au devis approximatif de l' art. 375 CO , il s'agit d'une catégorie intermédiaire entre les prix forfaitaire et effectif. Cette disposition confère certains droits au maître en cas de dépassement excessif, notamment celui d'obtenir la réduction convenable du prix s'il s'agit de constructions érigées sur le fonds du maître ( art. 375 al. 2 CO ). Selon la jurisprudence, il y a dépassement excessif lorsque le prix final est supérieur de 10% à celui du devis initial ( ATF 115 II 460 consid. 3b). Cependant, même si les parties se sont entendues sur un devis approximatif, la rémunération de l'entrepreneur doit ensuite être fixée selon les prix effectifs (en ce sens, cf. Baurecht/Droit de la construction 1995, n. 237 p. 91). Il appartient au maître - qui entend déduire des droits du dépassement de devis - de prouver que les parties ont convenu d'un devis approximatif au sens de l' art. 375 CO (Chaix, op. cit., n. 36 ad art. 375 CO ; Zindel/Pulver, Commentaire bâlois, n. 38 ad art. 375 CO ).</w:t>
      </w:r>
    </w:p>
    <w:p>
      <w:r>
        <w:rPr>
          <w:b/>
        </w:rPr>
        <w:t>E. 3.2</w:t>
      </w:r>
    </w:p>
    <w:p>
      <w:r>
        <w:t>La cour cantonale a retenu en l'espèce que rien n'indiquait que le contrat passé entre les parties prévoyait un prix ferme. Considérant que le prix devisé devait être qualifié de devis approximatif, elle en a conclu que la rémunération des prestations de la recourante devait s'établir selon les prix effectifs. Constatant enfin que le montant retenu des prestations ne dépassait pas de 10% le montant devisé à l'origine, elle en a conclu que le maître ne disposait pas des droits particuliers conférés par l' art. 375 CO . Ce raisonnement apparaît conforme aux principes résumés ci-dessus et ne prête ainsi pas le flanc à la critique.</w:t>
      </w:r>
    </w:p>
    <w:p>
      <w:r>
        <w:t>Dans ses écritures, la recourante se borne à affirmer que certaines prestations faisaient l'objet de prix fermes; bien que la charge de cette preuve lui incombât, elle n'indique pas avec précision de quelles prestations il s'agit. Il semble en fait que la recourante - par le biais d'une critique de l'application des art. 373 et 374 CO - entende remettre en cause la question de l'évaluation de ses prestations. Or, celle-ci a fait l'objet des deux expertises dont il a déjà été question. En fonction d'une appréciation des preuves qui ne peut pas être revue dans un recours en réforme, la cour cantonale a arrêté le montant des prestations de la recourante à un certain montant. Invoquer une violation des art. 373 et 374 CO n'est dès lors d'aucun secours à la recourante.</w:t>
      </w:r>
    </w:p>
    <w:p>
      <w:r>
        <w:t>Par conséquent, le grief de la recourante, dans la mesure de sa recevabilité, est infondé.</w:t>
      </w:r>
    </w:p>
    <w:p>
      <w:r>
        <w:rPr>
          <w:b/>
        </w:rPr>
        <w:t>E. 4</w:t>
      </w:r>
    </w:p>
    <w:p>
      <w:r>
        <w:t>La recourante critique encore, sur plusieurs points, le raisonnement de la cour cantonale qui a admis une réduction du prix de l'ouvrage à hauteur de 42'400 fr. pour le défaut de planéité du radier.</w:t>
      </w:r>
    </w:p>
    <w:p>
      <w:r>
        <w:rPr>
          <w:b/>
        </w:rPr>
        <w:t>E. 4.1</w:t>
      </w:r>
    </w:p>
    <w:p>
      <w:r>
        <w:t>La recourante voit une violation des art. 367 et 370 CO dans le fait que les juges cantonaux ont retenu que l'avis des défauts avait été donné en temps utile. A l'appui de ce grief, elle fait valoir - contrairement à ce qui a été retenu - qu'elle a invoqué en procédure à temps et de manière suffisamment précise la tardiveté de l'avis des défauts du maître d'ouvrage.</w:t>
      </w:r>
    </w:p>
    <w:p>
      <w:r>
        <w:rPr>
          <w:b/>
        </w:rPr>
        <w:t>E. 4.1.1</w:t>
      </w:r>
    </w:p>
    <w:p>
      <w:r>
        <w:t>Aux termes de l' art. 367 al. 1 CO , le maître doit, après la livraison de l'ouvrage, en vérifier l'état aussitôt qu'il le peut d'après la marche habituelle des affaires, et en signaler les défauts à l'entrepreneur, s'il y a lieu. Bien que la loi ne l'énonce pas expressément, l'avis doit être donné immédiatement ("sans délai", cf. art. 201 al. 1 CO ; Chaix, op. cit., n. 21 ad art. 367 CO ; Zindel/Pulver, op. cit., n. 20 ad art. 367 CO ; Gauch, op. cit., n. 2141 p. 582). Lorsque l'avis des défauts n'a pas été donné à temps, l'ouvrage est tenu pour tacitement accepté ( art. 370 al. 2 CO ), ce qui entraîne la péremption des droits du maître (arrêt 4C.93/1992 du 20 juillet 1992, publié in SJ 1993 p. 262, consid. 1 p. 264).</w:t>
      </w:r>
    </w:p>
    <w:p>
      <w:r>
        <w:t>En tant que l' art. 367 CO est de droit dispositif, il est loisible aux parties de prévoir des dérogations au système légal (Chaix, op. cit., n. 30 ad art. 367 CO ; Zindel/Pulver op. cit., n. 29 ad art. 367 CO ; Gauch, op. cit., n. 2467 ss p. 677 ss). Ainsi, la norme SIA 118 prévoit-elle en son art. 172 que le délai de garantie - qui commence à courir à partir de la réception de l'ouvrage - est de deux ans. L'art. 173 al. 1 précise que, pendant la durée du délai de garantie (délai de dénonciation des défauts), le maître a le droit, en dérogation aux dispositions légales ( art. 367 et 370 CO ), de faire valoir en tout temps les défauts, de quelque nature qu'ils soient. Lorsque le contrat est soumis à la norme SIA 118, le maître n'a ainsi pas à respecter l'obligation légale d'avis immédiat tant qu'il agit à l'intérieur du délai conventionnel de deux ans; sous cette réserve, la question de savoir quand le maître a eu connaissance du défaut est sans pertinence (Gauch, op. cit., n. 2683 p. 728 s.).</w:t>
      </w:r>
    </w:p>
    <w:p>
      <w:r>
        <w:rPr>
          <w:b/>
        </w:rPr>
        <w:t>E. 4.1.2</w:t>
      </w:r>
    </w:p>
    <w:p>
      <w:r>
        <w:t>Il ressort des faits établis par la cour cantonale que les travaux litigieux se sont terminés le 19 décembre 1991 et que le défaut de planéité était visible à l'oeil nu au début de l'année 1992. Le 22 février 1993, après avoir reçu une première facture du consortium, l'intimée a fait valoir de nombreux points d'insatisfaction, dont la planéité du radier. A teneur du jugement entrepris, aucun autre avis des défauts n'a été donné par l'intimée et aucun procès-verbal de vérification de l'ouvrage n'a été établi par les parties.</w:t>
      </w:r>
    </w:p>
    <w:p>
      <w:r>
        <w:t>L'instance inférieure a retenu que le contrat signé par les parties le 30 août 1991 incorpore plusieurs normes SIA, dont celle relative aux conditions générales pour l'exécution de travaux de construction (norme SIA 118). Il s'agit d'une question de fait qui échappe au contrôle du Tribunal fédéral ( art. 63 al. 2 OJ ; arrêt 4C.134/1994 du 27 juillet 1994, publié in SJ 1995 p. 82, consid. 3b p. 82), de sorte qu'il est indifférent qu'aucun des plaideurs ne se soit réclamé de l'application de la norme SIA 118.</w:t>
      </w:r>
    </w:p>
    <w:p>
      <w:r>
        <w:t>En se plaignant de défauts de planéité du radier en février 1993, le maître de l'ouvrage a agi à l'intérieur du délai conventionnel de deux ans. En effet, même si l'on retient la date la plus favorable à l'entrepreneur, soit la fin des travaux le 19 décembre 1991, le maître n'était pas forclos à agir en février 1993. Au surplus, il ne ressort pas du jugement entrepris que les parties auraient procédé à une vérification commune de l'ouvrage susceptible d'emporter une présomption d'acceptation de l'ouvrage avec ses défauts (cf. art. 158 et 163 al. 2 de la norme SIA 118).</w:t>
      </w:r>
    </w:p>
    <w:p>
      <w:r>
        <w:t>Par conséquent, l'avis des défauts a été donné en temps utile et l'intimée peut en principe se prévaloir des droits que lui confère la garantie des défauts.</w:t>
      </w:r>
    </w:p>
    <w:p>
      <w:r>
        <w:t>En raison de l'application du système conventionnel - qui dispense d'examiner la question de savoir si l'avis a été donné immédiatement après la découverte du défaut - l'argumentation de la recourante - qui partait de cette prémisse erronée - devient sans objet. Pour le même motif, il n'est pas non plus nécessaire de trancher la question de savoir si le juge doit examiner d'office les conditions de validité de l'avis des défauts (cf. arrêt 4C.93/1992 du 20 juillet 1992, publié in SJ 1993 p. 262, consid. 2a p. 265 s.).</w:t>
      </w:r>
    </w:p>
    <w:p>
      <w:r>
        <w:rPr>
          <w:b/>
        </w:rPr>
        <w:t>E. 4.2</w:t>
      </w:r>
    </w:p>
    <w:p>
      <w:r>
        <w:t>A suivre la recourante, la cour cantonale aurait violé l' art. 368 al. 2 CO en retenant que l'intimée agissait en réduction du prix alors qu'elle aurait parlé tout au long de la procédure de réfection de l'ouvrage.</w:t>
      </w:r>
    </w:p>
    <w:p>
      <w:r>
        <w:rPr>
          <w:b/>
        </w:rPr>
        <w:t>E. 4.2.1</w:t>
      </w:r>
    </w:p>
    <w:p>
      <w:r>
        <w:t>Aux termes de l' art. 368 al. 2 CO , le maître peut réduire le prix en proportion de la moins-value, ou obliger l'entrepreneur à réparer l'ouvrage à ses frais si la réfection est possible sans dépenses excessives. Ces droits de diminution du prix et de réfection de l'ouvrage sont des droits formateurs (Chaix, op. cit., n. 9 ad art. 368 CO ; Zindel/Pulver, op. cit., n. 12 ad art. 368 CO ; Gauch, op. cit., n. 1620 p. 459 et n. 1705 p. 477), qui s'exercent par simple déclaration de volonté du maître; cette déclaration de volonté n'est soumise à aucune prescription de forme et peut s'exprimer de manière expresse ou tacite (sur ces questions, cf. arrêt 4C.149/1995 du 5 décembre 1995, publié in SJ 1996 p. 353, consid. 6a p. 354; arrêt 4C.76/1991 du 10 juillet 1991, publié in SJ 1992 p. 103, consid. 1a p. 105; ATF 107 II 172 consid. 1a p. 175).</w:t>
      </w:r>
    </w:p>
    <w:p>
      <w:r>
        <w:t>Le maître de l'ouvrage dispose du choix du droit formateur qu'il entend exercer, dans la mesure où les conditions d'application de chaque disposition sont réalisées: on parle de droits alternatifs, de sorte que l'exercice de l'un d'eux par le maître éteint en principe les autres ( ATF 116 II 305 consid. 3a). Le droit à la réfection de l'ouvrage pose comme condition d'application que les frais prévisibles d'intervention ne sont pas disproportionnés par rapport à l'intérêt qu'a le maître à obtenir un ouvrage sans défaut ( ATF 111 II 173 consid. 5 p. 173). Lorsque l'entrepreneur parvient à démontrer que ces frais sont déraisonnables, le droit à la réfection est exclu.</w:t>
      </w:r>
    </w:p>
    <w:p>
      <w:r>
        <w:t>Si l'on s'en tient à une application stricte du caractère irrévocable des droits formateurs, il faudrait conclure avec la recourante que le maître qui opte pour la réfection de l'ouvrage, puis constate en cours de procédure que les frais de remise en état sont excessifs, est entièrement déchu de ses droits de garantie. Une telle conclusion contreviendrait assurément au but visé par l' art. 368 CO , car elle exonérerait l'entrepreneur de toute responsabilité alors même qu'un défaut lui est imputable. Dans une telle situation, il faut admettre que le maître est renvoyé aux autres droits de garantie, pour autant que leurs conditions d'application soient réalisées (Gauch, op. cit., n. 1767 p. 494).</w:t>
      </w:r>
    </w:p>
    <w:p>
      <w:r>
        <w:rPr>
          <w:b/>
        </w:rPr>
        <w:t>E. 4.2.2</w:t>
      </w:r>
    </w:p>
    <w:p>
      <w:r>
        <w:t>En l'espèce, la cour cantonale a constaté que, à dire d'experts, la réfection du radier entraînerait des frais disproportionnés par rapport à l'intérêt du maître à recevoir un ouvrage exempt de tout défaut. Elle a en effet relevé que la présence de faux-niveaux, même inadmissibles par rapport aux règles de l'art, n'empêchait pas le bon fonctionnement de l'usine installée dans l'ouvrage en question.</w:t>
      </w:r>
    </w:p>
    <w:p>
      <w:r>
        <w:t>Dans ces circonstances, c'est à juste titre que les premiers juges ont exclu tout droit à la réfection de l'ouvrage. Pour les motifs qui précèdent, l'action minutoire était encore ouverte, ce qu'a fait valoir l'intimée en excipant de compensation avec la prétention en paiement de la recourante (cf. Gauch, op. cit., n. 1621 p. 459).</w:t>
      </w:r>
    </w:p>
    <w:p>
      <w:r>
        <w:t>Par conséquent, en admettant que le maître d'ouvrage agissait implicitement en réduction du prix, la cour cantonale n'a pas violé le droit fédéral. Le grief de la recourante est ainsi infondé.</w:t>
      </w:r>
    </w:p>
    <w:p>
      <w:r>
        <w:rPr>
          <w:b/>
        </w:rPr>
        <w:t>E. 4.3</w:t>
      </w:r>
    </w:p>
    <w:p>
      <w:r>
        <w:t>Dans un dernier moyen, la recourante reproche à la cour cantonale d'avoir violé le droit fédéral en procédant au calcul de la moins-value de l'ouvrage.</w:t>
      </w:r>
    </w:p>
    <w:p>
      <w:r>
        <w:rPr>
          <w:b/>
        </w:rPr>
        <w:t>E. 4.3.1</w:t>
      </w:r>
    </w:p>
    <w:p>
      <w:r>
        <w:t>Pour calculer la réduction du prix "en proportion de la moins-value", la jurisprudence et la doctrine majoritaire ont adopté la méthode relative: la réduction du prix correspond au rapport existant entre la valeur objective de l'ouvrage non défectueux et la valeur de l'ouvrage effectivement livré ( ATF 116 II 305 consid. 4a p. 313; 111 II 162 consid. 3a; 105 II 99 consid. 4a p. 101). Le choix de cette méthode vise à rétablir l'équilibre des prestations selon le principe qui régit les contrats synallagmatiques ( ATF 85 II 192 p. 193). Son application stricte se heurte en pratique à la difficulté de fixer la valeur objective de l'ouvrage convenu (sans défaut) et la valeur objective de l'ouvrage effectivement livré (avec défaut).</w:t>
      </w:r>
    </w:p>
    <w:p>
      <w:r>
        <w:t>Pour éviter ces problèmes, la jurisprudence a d'abord posé comme présomption que la valeur de l'ouvrage qui aurait dû être livré est égale au prix convenu par les parties ( ATF 111 II 162 consid. 3b p. 163). Facilitant encore l'application de l' art. 368 al. 2 1 ère hypothèse CO, le Tribunal fédéral a statué que le montant de la réduction du prix est présumé égal aux coûts de remise en état de l'ouvrage ( ATF 116 II 305 consid. 4a p. 313 s.). Enfin, on doit conférer au juge un pouvoir d'appréciation des faits au sens de l' art. 42 al. 2 CO lorsque l'exactitude du montant de la réduction est difficile à établir, par exemple en matière de défauts esthétiques ou de dommage futur (arrêt 4C.201/2000 du 12 juin 2001 consid. 5b; cf. également Chaix, op. cit., n. 36 ad art. 368 CO ; Gauch, op. cit., n. 1667 p. 469).</w:t>
      </w:r>
    </w:p>
    <w:p>
      <w:r>
        <w:rPr>
          <w:b/>
        </w:rPr>
        <w:t>E. 4.3.2</w:t>
      </w:r>
    </w:p>
    <w:p>
      <w:r>
        <w:t>Pour fixer le montant de la réduction du prix de l'ouvrage, la cour cantonale s'est uniquement attachée à examiner le montant des frais de remise en état du radier, qu'elle a arrêtés à 42'400 fr. en suivant l'avis du second expert. A part des considérations générales sur la méthode relative, elle n'a pas cherché à établir les données précises permettant d'appliquer in concreto cette méthode (pour des exemples chiffrés, cf. Gauch, op. cit., n. 1671 p. 470; Bühler, Commentaire zurichois, n. 95 ad art. 368 CO ; Venturi, Défaut et calcul de la réduction du prix: Théorie et pratique, Baurecht/Droit de la construction 1995 p. 51 ss, spéc. p. 55).</w:t>
      </w:r>
    </w:p>
    <w:p>
      <w:r>
        <w:t>De son côté, la recourante se borne à critiquer la façon dont la cour a raisonné, sans indiquer véritablement que le résultat aurait été différent avec l'application stricte de la méthode relative. Certes, elle prétend qu'il n'y aurait lieu à aucune moins-value puisque l'utilité de l'ouvrage - à savoir l'exploitation d'une usine - n'a pas été et n'est pas affectée par le défaut. Nier toute réduction de prix dans une telle situation contreviendrait cependant au but que vise l'action minutoire, à savoir le rétablissement d'un certain équilibre entre les prestations promises par les cocontractants. Au surplus, cela favoriserait l'entrepreneur responsable d'un défaut dont l'élimination ne peut lui être raisonnablement imposée en raison de son coût, par rapport à celui dont les travaux de réfection peuvent être exigés.</w:t>
      </w:r>
    </w:p>
    <w:p>
      <w:r>
        <w:t>Pour tous ces motifs, la cour cantonale a appliqué à bon droit la présomption jurisprudentielle selon laquelle la moins-value de l'ouvrage correspond au coût de réparation de l'ouvrage. Il appartenait d'ailleurs à la recourante de démontrer que la moins-value était inférieure au chiffre arrêté par les premiers juges, ce qu'elle n'a pas fait.</w:t>
      </w:r>
    </w:p>
    <w:p>
      <w:r>
        <w:t>Par conséquent, la cour cantonale n'a pas violé le droit fédéral en fixant à 42'400 fr. le montant de la réduction du prix de l'ouvrage. Mal fondé, le grief de la recourante doit être rejeté.</w:t>
      </w:r>
    </w:p>
    <w:p>
      <w:r>
        <w:rPr>
          <w:b/>
        </w:rPr>
        <w:t>E. 5</w:t>
      </w:r>
    </w:p>
    <w:p>
      <w:r>
        <w:t>Compte tenu de l'issue du litige, la recourante supportera l'émolument de justice et versera des dépens à l'intimée C.________ SA, mais non à l'intimée B.________ SA, qui a renoncé à déposer une réponse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