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4C.346/2002 vom 14. Januar 2003</w:t>
      </w:r>
    </w:p>
    <w:p>
      <w:r>
        <w:t>Bundesgericht, 2003-01-14, DE</w:t>
      </w:r>
    </w:p>
    <w:p>
      <w:r>
        <w:rPr>
          <w:b/>
        </w:rPr>
        <w:t xml:space="preserve">Quelle: </w:t>
      </w:r>
      <w:r>
        <w:t>https://mcp.opencaselaw.ch/entscheid/bger_4C.346_2002</w:t>
      </w:r>
    </w:p>
    <w:p>
      <w:r>
        <w:t>FR: TF 4C.346/2002 du 14 janvier 2003</w:t>
      </w:r>
    </w:p>
    <w:p>
      <w:r>
        <w:t>IT: TF 4C.346/2002 del 14 gennaio 2003</w:t>
      </w:r>
    </w:p>
    <w:p>
      <w:pPr>
        <w:pStyle w:val="Heading2"/>
      </w:pPr>
      <w:r>
        <w:t>Regeste</w:t>
      </w:r>
    </w:p>
    <w:p>
      <w:r>
        <w:t>Vertragsrecht</w:t>
      </w:r>
    </w:p>
    <w:p>
      <w:pPr>
        <w:pStyle w:val="Heading2"/>
      </w:pPr>
      <w:r>
        <w:t>Erwägungen</w:t>
      </w:r>
    </w:p>
    <w:p>
      <w:r>
        <w:rPr>
          <w:b/>
        </w:rPr>
        <w:t>E. 1.1</w:t>
      </w:r>
    </w:p>
    <w:p>
      <w:r>
        <w:t>Im Berufungsverfahren ist das Bundesgericht an die tatsächlichen Feststellungen der letzten kantonalen Instanz gebunden, wenn sie nicht offensichtlich auf Versehen beruhen, unter Verletzung bundesrechtlicher Beweisvorschriften zustandegekommen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127 III 248 E. 2c; 126 III 59 E. 2a S. 65, je mit Hinweisen).</w:t>
      </w:r>
    </w:p>
    <w:p>
      <w:r>
        <w:rPr>
          <w:b/>
        </w:rPr>
        <w:t>E. 1.2</w:t>
      </w:r>
    </w:p>
    <w:p>
      <w:r>
        <w:t>Gegen diese Vorschriften verstösst der Kläger, wenn er in seiner Berufung, ohne eine der genannten Ausnahmen geltend zu machen, von den tatsächlichen Feststellungen der Vorinstanz abweicht. Dies gilt insbesondere für die Behauptung, die bei A.________ festgestellten Verletzungen könnten nicht vom Kläger stammen, da dieser jenen lediglich weggestossen habe. Entgegen der Angabe des Klägers hat das Obergericht auch nicht festgestellt, dass sich der Kläger nach dem Streit mit A.________ versöhnt hätte. Der Kläger kann demnach nicht gehört werden, soweit er seine rechtlichen Ausführungen auf diese tatsächlichen Behauptungen stützt.</w:t>
      </w:r>
    </w:p>
    <w:p>
      <w:r>
        <w:rPr>
          <w:b/>
        </w:rPr>
        <w:t>E. 2.1</w:t>
      </w:r>
    </w:p>
    <w:p>
      <w:r>
        <w:t>Das Obergericht führte dem Sinne nach aus, der Kläger habe durch die Verletzung eines Mitarbeiters der Beklagten einen wichtigen Grund zur fristlosen Kündigung gegeben, da durch Tätlichkeiten während der Arbeitszeit der Betriebsfriede und der reibungslose Ablauf der Arbeit erfahrungsgemäss schwerwiegend gestört würden. Dass der Kläger die Tat nicht während der Arbeitszeit, sondern unmittelbar nach Arbeitsschluss begangen habe, ändere nichts, da die Körperverletzung auf dem Betriebsgelände der Beklagten zugefügt worden sei, auf dem sie für den Schutz der Arbeitnehmer verantwortlich sei.</w:t>
      </w:r>
    </w:p>
    <w:p>
      <w:r>
        <w:rPr>
          <w:b/>
        </w:rPr>
        <w:t>E. 2.2</w:t>
      </w:r>
    </w:p>
    <w:p>
      <w:r>
        <w:t>Der Kläger macht geltend, das Obergericht habe zu Unrecht einen wichtigen Grund bejaht.</w:t>
      </w:r>
    </w:p>
    <w:p>
      <w:r>
        <w:rPr>
          <w:b/>
        </w:rPr>
        <w:t>E. 2.3</w:t>
      </w:r>
    </w:p>
    <w:p>
      <w:r>
        <w:t>Aus wichtigen Gründen kann der Arbeitgeber wie der Arbeitnehmer jederzeit das Arbeitsverhältnis fristlos auflösen ( Art. 337 Abs. 1 OR ). Als wichtiger Grund gilt namentlich jeder Umstand, bei dessen Vorhandensein dem Kündigenden nach Treu und Glauben die Fortsetzung des Arbeitsverhältnisses nicht mehr zugemutet werden kann ( Art. 337 Abs. 2 OR ). Gemäss Rechtsprechung ist eine fristlose Entlassung nur bei besonders schweren Verfehlungen des Arbeitnehmers gerechtfertigt, welche einerseits objektiv geeignet sind, die für das Arbeitsverhältnis wesentliche Vertragsgrundlage zu zerstören oder zumindest so tiefgreifend zu erschüttern, dass dem Arbeitgeber die Fortsetzung des Vertrags nicht mehr zuzumuten ist, und die anderseits auch tatsächlich zu einer derartigen Zerstörung oder Erschütterung des gegenseitigen Vertrauens geführt haben. Sind die Verfehlungen weniger schwerwiegend, so müssen sie trotz Verwarnung wiederholt vorgekommen sein ( BGE 121 III 467 E. 4d S. 472; 117 II 560 E. 3). Ob die dem Arbeitnehmer vorgeworfenen Pflichtverletzungen die erforderliche Schwere erreichen, entscheidet sich dabei nicht allgemein, sondern hängt von den Umständen des Einzelfalles ab, insbesondere von der Stellung und Verantwortung des Arbeitnehmers sowie von der Natur und Dauer des Vertragsverhältnisses ( BGE 104 II 29 E. 1, mit Hinweisen). Tätlichkeiten gegenüber Mitarbeitern bilden jedenfalls dann einen wichtigen Grund zur sofortigen Auflösung des Arbeitsverhältnisses, wenn sie eine gewisse Schwere erreichen (Urteil des BGer. 4P.70/1993 vom 21. Mai 1993 E. 4b). Dabei ist zu beachten, dass der Arbeitgeber gemäss Art. 328 OR verpflichtet ist, die Persönlichkeit seiner Arbeitnehmer zu schützen (vgl. BGE 127 III 351 E. 4b/dd S. 355 f.). Über das Vorhandensein eines wichtigen Grundes entscheidet das Gericht nach seinem Ermessen ( Art. 337 Abs. 3 OR ). Ermessensentscheide überprüft das Bundesgericht an sich frei. Es übt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das heisst als in stossender Weise ungerecht erweisen ( BGE 127 III 351 E. 4a S. 354; 126 III 223 E. 4a S. 227 f.).</w:t>
      </w:r>
    </w:p>
    <w:p>
      <w:r>
        <w:rPr>
          <w:b/>
        </w:rPr>
        <w:t>E. 2.4</w:t>
      </w:r>
    </w:p>
    <w:p>
      <w:r>
        <w:t>Im Einzelnen bringt der Kläger vor, das Obergericht habe bei der Beurteilung des wichtigen Grundes ausser Acht gelassen, dass gemäss bundesgerichtlicher Rechtsprechung der Arbeitgeber bei einem Konflikt zwischen zwei Angestellten nicht einfach einen der beiden Streitenden fristlos entlassen könne, ohne vorher versucht zu haben, den Streit mit anderen Mitteln als der fristlosen Kündigung beizulegen. Dies müsse insbesondere dann gelten, wenn zweifelhaft sei, was sich tatsächlich abgespielt habe. Dieser Einwand ist unbegründet, da die Beklagte die Kündigung nicht wegen eines andauernden Konflikts zwischen zwei Angestellten, sondern wegen eines tätlichen Angriffs des Klägers auf einen Mitarbeiter gekündigt hat. Dieser einseitige Angriff, welcher zu einer Körperverletzung führte, stand für die Beklagte in tatsächlicher Hinsicht fest und konnte auch bewiesen werden. Ebenso stand fest, dass sich der betroffene Mitarbeiter nach dem Angriff vor dem Kläger fürchtete. Die Fortsetzung seines Arbeitsverhältnisses konnte daher der Beklagten nicht zugemutet werden, da sie verpflichtet war, den Mitarbeiter vor dem Kläger zu schützen. Das Obergericht hat demnach das ihm zustehende Ermessen nicht überschritten, wenn es den Angriff des Klägers als wichtigen Grund im Sinne von Art. 337 Abs. 2 OR qualifizierte.</w:t>
      </w:r>
    </w:p>
    <w:p>
      <w:r>
        <w:rPr>
          <w:b/>
        </w:rPr>
        <w:t>E. 3</w:t>
      </w:r>
    </w:p>
    <w:p>
      <w:r>
        <w:t>Nach dem Gesagten ist die Berufung abzuweisen, soweit darauf einzutreten ist. Das Verfahren ist kostenlos ( Art. 343 Abs. 2 und 3 OR ). Insoweit ist das Gesuch um unentgeltliche Rechtspflege gegenstandslos. Es ist bezüglich der Rechtsverbeiständung abzuweisen, weil die Berufung zum Vornherein aussichtslos war ( Art. 152 Abs. 1 OG ). Der Beklagten ist keine Parteientschädigung zuzusprechen, da sie nicht anwaltlich vertreten ist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