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4C.343/1999 vom 3. Februar 2000</w:t>
      </w:r>
    </w:p>
    <w:p>
      <w:r>
        <w:t>Bundesgericht, 2000-02-03, FR</w:t>
      </w:r>
    </w:p>
    <w:p>
      <w:r>
        <w:rPr>
          <w:b/>
        </w:rPr>
        <w:t xml:space="preserve">Quelle: </w:t>
      </w:r>
      <w:r>
        <w:t>https://mcp.opencaselaw.ch/entscheid/bger_4C.343_1999</w:t>
      </w:r>
    </w:p>
    <w:p>
      <w:r>
        <w:t>FR: TF 4C.343/1999 du 3 février 2000</w:t>
      </w:r>
    </w:p>
    <w:p>
      <w:r>
        <w:t>IT: TF 4C.343/1999 del 3 febbraio 2000</w:t>
      </w:r>
    </w:p>
    <w:p>
      <w:pPr>
        <w:pStyle w:val="Heading2"/>
      </w:pPr>
      <w:r>
        <w:t>Regeste</w:t>
      </w:r>
    </w:p>
    <w:p>
      <w:r>
        <w:t>Assurance responsabilité civile</w:t>
      </w:r>
    </w:p>
    <w:p>
      <w:pPr>
        <w:pStyle w:val="Heading2"/>
      </w:pPr>
      <w:r>
        <w:t>Erwägungen</w:t>
      </w:r>
    </w:p>
    <w:p>
      <w:r>
        <w:rPr>
          <w:b/>
        </w:rPr>
        <w:t>E. 1</w:t>
      </w:r>
    </w:p>
    <w:p>
      <w:r>
        <w:t>Le Tribunal fédéral examine d'office et librement la recevabilité des recours qui lui sont soumis ( ATF 125 I 412 consid. 1a et les arrêts cités). a) Dans la mesure où il a trait à la question de la compétence à raison du lieu, le jugement attaqué constitue une décision incidente prise séparément du fond par la juridiction suprême du canton. Selon l' art. 49 al. 1 OJ , le recours en réforme est recevable contre de telles décisions lorsque le recourant invoque la violation de prescriptions de droit fédéral sur la compétence territoriale. En l'espèce, les défendeurs reprochent à la cour cantonale d'avoir violé certaines dispositions de la Convention de Lugano du 16 septembre 1988 concernant la compétence judiciaire et l'exécution des décisions en matière civile et commerciale (RS 0. 275.11; ci-après: Convention de Lugano ou CL), l'applicabilité de ladite convention n'étant, au demeurant, pas litigieuse. La Convention de Lugano appartient au droit fédéral et son application peut faire l'objet d'un recours en réforme au Tribunal fédéral ( ATF 125 III 108 consid. 3b et l'arrêt cité). Le recours des défendeurs est ainsi recevable en tant qu'il vise la décision prise par le Tribunal cantonal neuchâtelois au sujet de sa propre compétence. b) Les juges précédents ont encore rejeté l'exception de prescription soulevée par les défendeurs. Ce faisant, ils ont rendu une décision préjudicielle au sens de l' art. 50 OJ ( ATF 118 II 447 consid. 1a et les arrêts cités). Selon l' art. 50 al. 1 OJ , le recours en réforme est recevable exceptionnellement contre les décisions préjudicielles ou incidentes autres que celles relatives à la compétence ( art. 49 OJ ), lorsqu'une décision finale peut ainsi être provoquée immédiatement et que la durée et les frais de la procédure probatoire seraient si considérables qu'il convient de les éviter en autorisant le recours immédiat au Tribunal fédéral. Celui-ci examine librement si les conditions de l' art. 50 al. 1 OJ sont réalisées (cf. art. 50 al. 2 OJ ; ATF 122 III 254 consid. 2a). Toutefois, comme l'ouverture du recours en réforme, pour des motifs d'économie de procédure, constitue une exception, elle doit, comme telle, être interprétée restrictivement ( ATF 122 III 254 consid. 2a; 118 II 91 consid. 1b p. 92). En outre, il appartient au recourant d'exposer pourquoi il s'agit d'un cas exceptionnel ( ATF 118 II 91 consid. 1a p. 92; 116 II 738 consid. 1b/aa). Ces deux conditions cumulatives sont réalisées dans le cas particulier. En effet, si le Tribunal fédéral, admettant le recours sur ce point, constatait que l'action introduite par les demandeurs est prescrite, il rendrait une décision finale (cf. Poudret, COJ, n. 2.3.1.5 et les références). Il ressort, en outre, de la nature de la cause et des explications fournies par les défendeurs quant aux preuves à administrer que le recours immédiat au Tribunal fédéral permettra, le cas échéant, de faire l'économie d'une procédure probatoire longue et coûteuse. Par conséquent, le recours est également recevable sur la question de la prescription.</w:t>
      </w:r>
    </w:p>
    <w:p>
      <w:r>
        <w:rPr>
          <w:b/>
        </w:rPr>
        <w:t>E. 2</w:t>
      </w:r>
    </w:p>
    <w:p>
      <w:r>
        <w:t>a) La cour cantonale s'est fondée sur les art. 5 ch. 5 et 17 ch. 1 CL pour admettre sa compétence à raison du lieu. Les défendeurs lui en font grief à juste titre. La première de ces deux dispositions institue le for de la succursale, de l'agence ou de tout autre établissement; la seconde, celui qui résulte d'une prorogation de compétence. Ni l'une ni l'autre n'est applicable en l'occurrence. L' art. 5 ch. 5 CL ne vise que les actions dirigées contre le titulaire de la succursale (Kropholler, Europäisches Zivilprozess, 6e éd., n. 82 ad art. 5 CB/CL; Geimer/Schütze, Europäisches Zivilverfahrensrecht, n. 223 ad art. 5 CB/CL; Donzallaz, La Convention de Lugano, vol. III, n. 5351). Or, les défendeurs, de leur propre aveu, n'étaient titulaires ni de Y.________ S.A., ni de Z.________ S.A. en liquidation concordataire. Ils ne sauraient donc être attraits devant les tribunaux du siège de ces sociétés, sur la base de la disposition citée. Quant à la clause attributive de juridiction réservée par l' art. 17 ch. 1 CL , elle ne lie que les parties qui l'ont incluse dans leur accord, sous réserve d'exceptions n'entrant pas en ligne de compte en l'espèce, conformément au principe de la relativité des obligations contractuelles (Gaudemet-Tallon, Les conventions de Bruxelles et de Lugano, 2e éd., n. 138). Aussi seules les parties aux contrats des 21 décembre 1992 et 15 janvier 1993 seraient-elles en droit de se prévaloir de la clause de prorogation de for en faveur des tribunaux neuchâtelois qui y figure. Tel n'est pas le cas des demandeurs, dès lors qu'ils n'ont pas conclu ces deux contrats avec les défendeurs, mais avec chacune des sociétés susmentionnées. b) Les demandeurs agissent en vue d'obtenir réparation du dommage direct que leur auraient causé les défendeurs, reprochant à ceux-ci de les avoir amenés, par un acte illicite ou une culpa in contrahendo, à conclure les deux contrats incriminés qui se seraient révélés préjudiciables à leurs intérêts. Il n'y avait aucun lien contractuel entre les parties au litige, les défendeurs, personnes physiques, ne devant pas être confondus avec la société qu'ils représentaient. Aussi ne saurait-il être question d'autre chose, en l'espèce, que d'une responsabilité délictuelle ou quasi délictuelle (cf. Donzallaz, op. cit., n. 5081 in fine). Tel est également l'avis des défendeurs. Pour ce type de responsabilité, l' art. 5 ch. 3 CL prévoit un for au lieu où le fait dommageable s'est produit. Cette disposition règle à la fois la compétence internationale et la compétence locale ( ATF 125 III 346 consid. 4b). Elle vise aussi bien le lieu où le dommage est survenu (Erfolgsort) que le lieu du fait générateur (Handlungsort), ce dernier lieu pouvant d'ailleurs être multiple et créer autant de fors au choix du demandeur ( ATF 125 III 346 consid. 4a et 4c/ aa avec de nombreuses références). En l'occurrence, on peut en tout cas retenir, comme lieu du fait générateur, celui où a été conclu chacun des contrats prétendument dommageables. La conclusion de ces contrats était, en effet, la condition sine qua non de la survenance du préjudice allégué par les demandeurs, lesquels se plaignent d'avoir dû honorer les engagements qu'ils y avaient pris dans l'ignorance de la situation financière désespérée de Y.________ S.A. Les deux contrats ont été signés dans le canton de Neuchâtel. Par conséquent, les tribunaux de ce canton sont compétents ratione loci à l'égard des trois défendeurs pour connaître de l'action en responsabilité ouverte par les demandeurs. Les juges précédents ont dès lors rejeté à bon droit l'exception d'incompétence soulevée par les défendeurs. 3.- S'agissant de la prescription, la cour cantonale n'a pas violé le droit fédéral en appliquant l' art. 760 al. 1 CO , qui institue un délai de cinq ans pour les actions en responsabilité du droit de la société anonyme, plutôt que l' art. 60 al. 1 CO , qui prévoit un délai d'une année pour les actions dérivant d'un acte illicite. En l'espèce, les demandeurs exigent réparation du dommage direct (sur cette notion, cf. ATF 125 III 87 consid. 3a et les références) qu'ils allèguent avoir subi en raison de l'acte illicite ou de la culpa in contrahendo que les défendeurs auraient commis en leur qualité d'organes de Y.________ S.A. et dans le cadre de leurs fonctions. Or, il se justifie de soumettre l'action en réparation d'un tel dommage au délai de prescription prévu par l' art. 760 CO , en tant que lex specialis, conformément à la tendance actuelle qui va dans le sens d'une application des art. 759 à 761 CO à toutes les actions en responsabilité du droit de la société anonyme, sans égard au type de dommage allégué ou au fondement juridique invoqué (cf. Forstmoser/ Meier-Hayoz/Nobel, Schweizerisches Aktienrecht, n. 16 et 146 ad § 36; Trigo Trindade, La responsabilité des organes de gestion de la société anonyme dans la jurisprudence récente du Tribunal fédéral, in SJ 1998 p. 1 ss, 14; Widmer, in Commentaire bâlois, n. 3 ad art. 760 CO ). Le recours sera donc rejeté sur ce point également.</w:t>
      </w:r>
    </w:p>
    <w:p>
      <w:r>
        <w:rPr>
          <w:b/>
        </w:rPr>
        <w:t>E. 4</w:t>
      </w:r>
    </w:p>
    <w:p>
      <w:r>
        <w:t>Les défendeurs, qui succombent, devront supporter solidairement l'émolument judiciaire ( art. 156 al. 1 et 7 OJ ) et les dépens alloués aux demandeurs ( art. 159 al. 1 et 5 OJ ).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