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4C.339/2000 vom 21. März 2001</w:t>
      </w:r>
    </w:p>
    <w:p>
      <w:r>
        <w:t>Bundesgericht, 2001-03-21, DE</w:t>
      </w:r>
    </w:p>
    <w:p>
      <w:r>
        <w:rPr>
          <w:b/>
        </w:rPr>
        <w:t xml:space="preserve">Quelle: </w:t>
      </w:r>
      <w:r>
        <w:t>https://mcp.opencaselaw.ch/entscheid/bger_4C.339_2000</w:t>
      </w:r>
    </w:p>
    <w:p>
      <w:r>
        <w:t>FR: TF 4C.339/2000 du 21 mars 2001</w:t>
      </w:r>
    </w:p>
    <w:p>
      <w:r>
        <w:t>IT: TF 4C.339/2000 del 21 marzo 2001</w:t>
      </w:r>
    </w:p>
    <w:p>
      <w:pPr>
        <w:pStyle w:val="Heading2"/>
      </w:pPr>
      <w:r>
        <w:t>Regeste</w:t>
      </w:r>
    </w:p>
    <w:p>
      <w:r>
        <w:t>Vertragsrecht</w:t>
      </w:r>
    </w:p>
    <w:p>
      <w:pPr>
        <w:pStyle w:val="Heading2"/>
      </w:pPr>
      <w:r>
        <w:t>Erwägungen</w:t>
      </w:r>
    </w:p>
    <w:p>
      <w:r>
        <w:rPr>
          <w:b/>
        </w:rPr>
        <w:t>E. 2</w:t>
      </w:r>
    </w:p>
    <w:p>
      <w:r>
        <w:t>Gemäss Art. 213 Abs. 2 Ziff. 2 SchKG ist die Verrechnung unzulässig, wenn der Gläubiger des Schuldners erst nach der Konkurseröffnung Schuldner desselben oder der Konkursmasse wird. Bei den Schulden, die der Beklagte durch Verrechnung zu tilgen gedenkt, handelt es sich um Mietzinse, die nach Konkurseröffnung aufgelaufen sind. Mietzinsforderungen entstehen mit Ablauf jeder Zahlungsperiode neu ( BGE 115 III 65 E. 3b S. 67; bestätigt in BGE 117 III 63 E. 2b S. 66, wo es aber um die Unzulässigkeit der Verrechnung einer nur gegen den Schuldner persönlich bestehenden Schuld mit einer Forderung der Masse geht, vgl. Stäubli/Dubacher, Basler Kommentar, N. 15 zu Art. 213 SchKG ). Der Beklagte ist somit erst nach Eröffnung des Konkurses Schuldner der Aktiengesellschaft in Liquidation beziehungsweise der Konkursmasse geworden. Er kann daher vor Konkurseröffnung gegen seine Vermieterin entstandene Forderungen nicht zur Verrechnung bringen (Jaeger/Walder/Kull/Kottmann, Bundesgesetz über Schuldbetreibung und Konkurs, 4. Aufl. , Zürich 1997/99, Bd. II, N. 31 zu Art. 213 SchKG ; Bise, La faillite du bailleur, in: 11e Séminaire sur le droit du bail, Neuchâtel 2000, S. 11; Amberg, Der Konkurs des Vermieters: Folgen für den Vermieter; Auswirkungen auf den Mietvertrag, in: Angst/ Cometta/Gasser [Hrsg. ], Schuldbetreibung und Konkurs im Wandel, Basel 2000, S. 180). Zulässig ist die Verrechnung dagegen, soweit dem Beklagten Ansprüche gegenüber der Konkursmasse zustehen, da Art. 213 Abs. 2 Ziff. 2 SchKG insoweit einer Verrechnung nicht entgegen steht (Jaeger/Walder/ Kull/Kottmann, a.a.O., N. 2 zu Art. 213 SchKG ; Stäubli/ Dubacher, a.a.O., N. 19 zu Art. 213 SchKG ; Fritzsche/Walder, Schuldbetreibung und Konkurs nach schweizerischem Recht,</w:t>
      </w:r>
    </w:p>
    <w:p>
      <w:r>
        <w:rPr>
          <w:b/>
        </w:rPr>
        <w:t>E. 3</w:t>
      </w:r>
    </w:p>
    <w:p>
      <w:r>
        <w:t>a) Hinterlegt der Vermieter die Kaution gemäss den gesetzlichen Vorschriften auf einem Konto, welches auf den Namen des Mieters lautet, fällt die Kaution nicht in die Konkursmasse. Die daraus entstehenden Rechte werden im Konkurs von der Konkursverwaltung wahrgenommen und gehen bei Verwertung des Grundstücks auf den Erwerber über ( Art. 261 OR ; Higi, Zürcher Kommentar, N. 22 zu Art. 261-261a OR ; Bise, a.a.O., S. 17; Amberg, a.a.O., S. 181). Dagegen fällt eine nicht ordnungsgemäss hinterlegte Kaution grundsätzlich in die Konkursmasse (SVIT-Kommentar, N. 16 und N. 27 zu Art. 257e OR mit Hinweis; Amberg, a.a.O., S. 181). b) Damit stellt sich für den Mieter zunächst die Frage, ob für die Kaution ein Aussonderungsanspruch besteht und gegebenenfalls verrechnungsweise geltend gemacht werden kann. Infolge Vermengung des Mietzinsdepots mit anderen Geldern des Vermieters hat ein Eigentumswechsel stattgefunden (Amberg, a.a.O., S. 181). Das Hinterlegungsvertragsrecht, welches Anwendung findet, sofern der Vermieter die Kaution einfach in seinem Vermögen belässt ( Art. 481 OR ; mp 1997 S. 151), kennt keinen konkursrechtlichen Aussonderungsanspruch (Schönenberger, Zürcher Kommentar, N. 8 zu Art. 481 OR ). Damit bleibt zu prüfen, ob sich der Beklagte auf Art. 401 Abs. 3 OR berufen könnte. Welche Vermögenswerte gestützt auf diese Bestimmung vom Aussonderungsrecht er- fasst werden, ist umstritten ( BGE 117 II 429 mit Hinweisen; Jaeger/Walder/Kull/Kottmann, a.a.O., N. 25 zu Art. 197; Handschin/Hunkeler, Basler Kommentar, N. 69 ff. zu Art. 197 SchKG ; Russenberger, Basler Kommentar, N. 22 zu Art. 242 SchKG ; Amonn/Gasser, Grundriss des Schuldbetreibungs- und Konkursrechts, 6. Aufl. , Bern 1997, § 40 N. 29; Gilliéron, Poursuite pour dettes, faillite et concordat, 3. Aufl. , Lausanne 1993, S. 287 f.; Tschumy, La revendication de droits de nature à soustraire un bien à l'exécution forcée, Lausanne 1987, S. 147 ff. und S. 184 ff.). Sie kommt aber in jedem Fall nur zur Anwendung, wenn der auszusondernde Geldbetrag hinreichend individualisiert ist (Russenberger, a.a.O., N. 20 f. zu Art. 242 SchKG mit Hinweisen; Amonn/ Gasser, a.a.O., § 40 N. 32 und § 24 N. 16). Dass diese Voraussetzung erfüllt wäre, lässt sich den tatsächlichen Feststellungen des angefochtenen Entscheides nicht entnehmen. Mithin ist ein Aussonderungsrecht von vornherein nicht gegeben, und der Beklagte macht denn auch kein solches geltend.</w:t>
      </w:r>
    </w:p>
    <w:p>
      <w:r>
        <w:rPr>
          <w:b/>
        </w:rPr>
        <w:t>E. 4</w:t>
      </w:r>
    </w:p>
    <w:p>
      <w:r>
        <w:t>Aufl. , Zürich 1999, S. 485 Fn. 75; zweifelnd Guhl/Koller, a.a.O., § 44 N. 63). Dies ist gerechtfertigt, weil der Mieter die gesetzeskonforme Hinterlegung der Kaution sofort zu fordern und bei Verzug des Vermieters mit fälligen Mietzinsen zu verrechnen berechtigt ist (Higi, a.a.O., N. 30 zu Art. 257e OR ; Lachat/Stoll/Brunner, a.a.O., S. 235; SVIT-Kommentar, N. 16 zu Art. 257e OR ), und es nicht der Übernehmer der Mietsache zu vertreten hat, wenn sich der Mieter bislang nicht um die Hinterlegung der Kaution gekümmert hat. Der Erwerber, der in ein bestehendes Mietverhältnis eintritt, kann den Mieter, der die Kaution bereits dem Veräusserer bezahlt und nicht zurückerhalten hat, nicht erneut zu deren Leistung anhalten (Bise, a.a.O., S. 17). Er muss sich diesbezüglich mit dem Veräusserer auseinander setzen. Die Hinterlegungspflicht nach Art. 257e Abs. 1 OR ist aber nicht auf Fälle beschränkt, in denen der Vermieter den Depotbetrag unmittelbar vom Mieter empfängt. Denkbar ist, dass der ursprüngliche Vermieter die vom Mieter entgegengenommene Kaution als solche dem Übernehmer der Liegenschaft zukommen lässt. Diesfalls hat der Mieter das Recht, die gesetzeskonforme Hinterlegung vom Übernehmer zu fordern. Allerdings befreit die Geldübergabe an den Erwerber den Veräusserer im Verhältnis zum Mieter nicht. Die Hinterlegungspflicht des Veräusserers erlischt vielmehr erst mit deren Erfüllung, sei es durch den ursprünglichen oder den neuen Vermieter. d) Daraus folgt, dass der Mieter in der Regel für die Geltendmachung seiner Rechte aus gesetzwidrig nicht hinterlegter Kaution im Konkurs des Vermieters auf die Kollokation angewiesen ist und die Pflicht zur Hinterlegung nicht der Konkursmasse obliegt. Die Verrechnung mit nach Konkurseröffnung anfallenden Mietzinsen ist deshalb nach Art. 213 Abs. 2 Ziff. 2 SchKG ausgeschlossen (im Ergebnis ebenso Amberg, a.a.O., S. 182; Bise, a.a.O., S. 11 und 17). 5.-Was der Beklagte zur Begründung seines Verrechnungsanspruchs ausführt, dringt nicht durch. a) Soweit sich der Beklagte darauf beruft, sein Anspruch auf die Mietkaution werde erst bei Beendigung des Mietverhältnisses und damit gegenüber der Konkursmasse fällig, verkennt er, dass der Anspruch des Mieters auf korrekte Hinterlegung der Kaution mit deren Übergabe an den Vermieter fällig wird (vgl. E. 4c/bb hievor). Was er möglicherweise anspricht, ist die bei Beendigung des Mietverhältnisses stattfindende Auseinandersetzung der Parteien über die Freigabe des Depots ( Art. 257e Abs. 3 OR ), die aber nur im Falle korrekter Hinterlegung der Kaution zum Tragen kommt. b) Ob allenfalls anders zu entscheiden wäre, wenn die Konkurseröffnung in die kurze Zeitspanne fiele, die dem Vermieter für die Eröffnung des Kautionskontos zugebilligt werden muss (Lachat/Stoll/Brunner, a.a.O., S. 235), und der Anspruch auf Hinterlegung vor Konkurseröffnung entsteht, jener auf Herausgabe und damit verbunden die Möglichkeit zur Verrechnung aber erst danach, kann offen bleiben, sind doch seit der Zahlung des Beklagten Jahre verstrichen.</w:t>
      </w:r>
    </w:p>
    <w:p>
      <w:r>
        <w:rPr>
          <w:b/>
        </w:rPr>
        <w:t>E. 6</w:t>
      </w:r>
    </w:p>
    <w:p>
      <w:r>
        <w:t>a) Der Beklagte wendet ein, bei Art. 213 Abs. 2 SchKG handle es sich um eine Missbrauchsbestimmung. Da im zu beurteilenden Fall die Vermieterin und nicht der Beklagte gegen die zwingenden Bestimmungen des Mietrechts verstossen habe, sei die Anwendung von Art. 213 Abs. 2 SchKG fragwürdig, zumal dadurch die Gläubigerbank, der die Geldleistung zugegangen sei, begünstigt würde. b) Dem angefochtenen Entscheid ist nicht zu entnehmen, wem die als Kaution gedachte Summe zugeflossen ist. Insoweit ist der Beklagte mit seinem Vorbringen in der Berufung nicht zu hören ( Art. 55 Abs. 1 lit. c OG ; BGE 126 III 10 E. 2b S. 12; 59 E. 2a S. 65). Das Verrechnungsverbot in Art. 213 Abs. 2 SchKG gilt allgemein und absolut. Es setzt namentlich nicht voraus, dass dem Konkursgläubiger ein unredliches Verhalten zur Last fällt ( BGE 101 III 99 E. 5d S. 110 f.; Amonn/Gasser, a.a.O., § 40 N. 46). Die Zulassung der Verrechnung im Konkurs zum vollen Betrag wird vom Gedanken geleitet, dass der Gläubiger nicht die volle Leistung soll erbringen müssen, wenn er selbst nur eine Konkursdividende erhält (Amonn/Gasser, a.a.O., § 40 N. 40). Soweit das Mietobjekt dem Mieter nach Konkurseröffnung weiter zur Verfügung steht und die Konkursmasse den aus dem Mietvertrag erwachsenden Pflichten vollständig nachkommt, erhält der Mieter die volle Gegenleistung für seine Mietzinszahlung, nicht bloss eine Dividende. Bei dieser Konstellation steht die Unzulässigkeit der Verrechnung fälliger Mietzinse mit einer vor Konkurseröffnung gegenüber der Aktiengesellschaft entstandenen Forderung im Einklang mit dem Zweck von Art. 213 SchKG .</w:t>
      </w:r>
    </w:p>
    <w:p>
      <w:r>
        <w:rPr>
          <w:b/>
        </w:rPr>
        <w:t>E. 7</w:t>
      </w:r>
    </w:p>
    <w:p>
      <w:r>
        <w:t>Die Berufung erweist sich als unbegründet und ist abzuweisen, soweit darauf einzutreten ist. Bei diesem Ausgang des Verfahrens hat der Beklagte die Gerichtskosten zu tragen. Dagegen schuldet er der Klägerin, die nicht anwaltlich vertreten ist und der kein besonderer Aufwand entstanden ist, keine Parteientschädigung ( Art. 159 OG ; BGE 125 II 518 E. 5b S. 519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