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4C.335/2001 vom 21. Januar 2002</w:t>
      </w:r>
    </w:p>
    <w:p>
      <w:r>
        <w:t>Bundesgericht, 2002-01-21, FR</w:t>
      </w:r>
    </w:p>
    <w:p>
      <w:r>
        <w:rPr>
          <w:b/>
        </w:rPr>
        <w:t xml:space="preserve">Quelle: </w:t>
      </w:r>
      <w:r>
        <w:t>https://mcp.opencaselaw.ch/entscheid/bger_4C.335_2001</w:t>
      </w:r>
    </w:p>
    <w:p>
      <w:r>
        <w:t>FR: TF 4C.335/2001 du 21 janvier 2002</w:t>
      </w:r>
    </w:p>
    <w:p>
      <w:r>
        <w:t>IT: TF 4C.335/2001 del 21 gennaio 2002</w:t>
      </w:r>
    </w:p>
    <w:p>
      <w:pPr>
        <w:pStyle w:val="Heading2"/>
      </w:pPr>
      <w:r>
        <w:t>Regeste</w:t>
      </w:r>
    </w:p>
    <w:p>
      <w:r>
        <w:t>Droit des contrats</w:t>
      </w:r>
    </w:p>
    <w:p>
      <w:pPr>
        <w:pStyle w:val="Heading2"/>
      </w:pPr>
      <w:r>
        <w:t>Erwägungen</w:t>
      </w:r>
    </w:p>
    <w:p>
      <w:r>
        <w:rPr>
          <w:b/>
        </w:rPr>
        <w:t>E. 1</w:t>
      </w:r>
    </w:p>
    <w:p>
      <w:r>
        <w:t>a) 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formé en temps utile ( art. 54 al. 1 OJ ) dans les formes requises ( art. 55 OJ ). b)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L'appréciation des preuves à laquelle s'est livrée l'autorité cantonale ne peut être remise en cause ( ATF 126 III 189 consid. 2a; 125 III 78 consid. 3a). Si le Tribunal fédéral ne saurait aller au-delà des conclusions des parties, lesquelles ne peuvent en prendre de nouvelles (art. 55 al. 1 let. b in fine OJ), il n'est lié ni par les motifs qu'elles invoquent ( art. 63 al. 1 OJ ), ni par ceux de la décision cantonale, de sorte qu'il peut apprécier librement la qualification juridique des faits constatés ( art. 63 al. 3 OJ ; ATF 127 III 248 consid. 2c; 126 III 59 consid. 2a).</w:t>
      </w:r>
    </w:p>
    <w:p>
      <w:r>
        <w:rPr>
          <w:b/>
        </w:rPr>
        <w:t>E. 2</w:t>
      </w:r>
    </w:p>
    <w:p>
      <w:r>
        <w:t>a) La recourante soutient tout d'abord que les parties seraient convenues d'annuler le contrat de travail conclu le 15 décembre 1999. Une telle annulation, qui relève de la liberté contractuelle (cf. art. 115 CO ), n'est certes pas exclue. Son existence ne peut toutefois être admise que dans des circonstances exceptionnelles, notamment lorsqu'est établie sans équivoque la volonté des deux parties de se départir du contrat (arrêt du 8 janvier 1999 publié in SJ 1999 I p. 277 ss, consid. 2c; arrêt non publié du 26 novembre 2001 dans la cause 4C.194/2001, consid. 3b; arrêt non publié du 20 juillet 1999 dans la cause 4C.51/1999 consid. 3c; Rehbinder, Commentaire bernois, n. 2 ad art. 335 CO ; Brühwiler, Kommentar zum Einzelarbeitsvertrag, 2ème éd., n. 7 ad art. 335 CO ; Roland A. Müller, Die einvernehmliche Beendigung des Arbeitsverhältnisses, ArbR 1994 p. 85 s.). b) Déterminer la volonté réelle d'une personne à un moment donné est une question de fait ( ATF 126 III 25 consid. 3c, 375 consid. 2e/aa; 125 III 435 consid. 2a/aa). Procédant à une appréciation des preuves, la cour cantonale est parvenue à la conviction que le travailleur n'avait pas la volonté d'éteindre conventionnellement le contrat de travail. Saisi d'un recours en réforme, le Tribunal fédéral est lié par cette constatation de fait ( art. 63 al. 2 OJ ). Le principe de la confiance permet cependant d'imputer à une partie le sens objectif de son comportement, même si celui-ci ne correspond pas à sa volonté intime ( ATF 127 III 279 consid. 2c/ee p. 287 et les références doctrinales). L'application du principe de la confiance est une question de droit que le Tribunal fédéral, saisi d'un recours en réforme, peut examiner librement ( ATF 127 III 248 consid. 3a; 126 III 25 consid. 3c, 59 consid. 5a, 375 consid. 2e/aa p. 379; 125 III 305 consid. 2b, 435 consid. 2a/aa). Pour trancher cette question de droit, il faut cependant se fonder sur le contenu de la manifestation de volonté et sur les circonstances, lesquelles relèvent du fait ( ATF 126 III 375 consid. 2e/aa; 124 III 363 consid. 5a; 123 III 165 consid. 3a). Selon les constatations cantonales, la recourante n'est pas parvenue à prouver l'existence d'une déclaration écrite ou orale du travailleur d'où il ressortirait indubitablement qu'il acceptait une extinction conventionnelle du contrat. L'appréciation des preuves et les constatations de fait qui en découlent ne peuvent être remises en cause dans un recours en réforme. Après la compensation des jours de foire en Allemagne, l'intimé s'est présenté au travail, ce qui tend à montrer qu'aucun accord n'était intervenu quant à l'extinction du contrat de travail. A la première lettre qui invoquait un tel accord, le travailleur a répondu en contestant l'existence de celui-ci. La recourante invoque des déclarations du travailleur en cours de procédure, mais celles-ci ne figurent pas dans l'arrêt cantonal, de sorte qu'il n'est pas possible - comme on l'a vu - de les prendre en considération dans un recours en réforme. Il n'importe, car il ressort de ces déclarations que le demandeur estimait qu'il incombait à son employeur de résilier le contrat, étant précisé qu'il ne voulait pas perdre son droit aux indemnités de l'assurance-chômage. Sur la base d'un tel état de fait, la cour cantonale n'a pas violé les règles du droit fédéral sur l'interprétation des déclarations des parties en concluant qu'il n'était pas établi que le travailleur ait manifesté la volonté de mettre fin conventionnellement au contrat de travail.</w:t>
      </w:r>
    </w:p>
    <w:p>
      <w:r>
        <w:rPr>
          <w:b/>
        </w:rPr>
        <w:t>E. 3</w:t>
      </w:r>
    </w:p>
    <w:p>
      <w:r>
        <w:t>a) La recourante fait valoir qu'elle était de toute manière en droit de résilier le contrat de travail avec effet immédiat en raison de justes motifs. Selon l' art. 337 al. 1 1 ère phrase CO, l'employeur et le travailleur peuvent résilier immédiatement le contrat de travail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seul un manquement particulièrement grave du travailleur justifie son licenciement immédiat; si le manquement est moins grave, il ne peut entraîner une résiliation immédiate que s'il a été répété malgré un avertissement; par manquement du travailleur, on entend la violation d'une obligation découlant du contrat de travail, comme par exemple le devoir de fidélité ( ATF 127 III 153 consid. 1a, 310 consid. 3, 351 consid. 4a et les références citées). Le juge apprécie librement s'il existe de justes motifs ( art. 337 al. 3 CO ). Il applique les règles du droit et de l'équité ( art. 4 CC ). A cet effet, il prendra en considération tous les éléments du cas particulier, notamment la position et les responsabilités du travailleur, le type et la durée des rapports contractuels, ainsi que la nature et l'importance des manquements;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127 III 153 consid. 1a, 310 consid. 3, 351 consid. 4a). b) Lorsque survient un juste motif de résiliation, la partie ne dispose que d'un court délai de réflexion pour signifier la rupture immédiate des relations; si elle tarde à réagir, il faut en déduire que la continuation des rapports de travail jusqu'à la fin du délai ordinaire de congé ne lui est pas insupportable ( ATF 123 III 86 consid. 2a; arrêt non publié du 2 mars 1999 dans la cause 4C.382/1998 consid. 1a; arrêt non publié du 11 décembre 1997 dans la cause 4C.111/1997, consid. 3; Staehelin/Vischer, Commentaire zurichois, n. 35 ad art. 337 CO ; Vischer, Schweizerisches Privatrecht, Tome VII/1 III p. 180 s.; Brühwiler, op. cit. , n. 10 ad art. 337 CO ). En règle générale, le délai de réaction ne doit pas dépasser 2 à 3 jours ouvrables (arrêt non publié du 2 mars 1999 déjà cité, consid. 1b). c) En l'espèce, la recourante avait invoqué, comme motif de résiliation, les mauvaises relations entre les parties. Il ne ressort cependant pas des constatations cantonales - qui lient le Tribunal fédéral en instance de réforme ( art. 63 al. 2 OJ ) - que le travailleur ait, sous cet angle, violé un quelconque devoir résultant du contrat de travail. Le motif dont se prévaut la défenderesse ne trouve aucun point d'appui dans l'état de fait déterminant. Quant au fait que le travailleur n'a pas obtenu un prêt bancaire, la cour cantonale a constaté souverainement que la recourante en avait connaissance depuis longtemps. Il est de jurisprudence que l'employeur doit réagir immédiatement en présence d'un juste motif de résiliation; il ne doit pas chercher préalablement à obtenir une extinction conventionnelle. Quant à l'hypothèse selon laquelle une telle extinction conventionnelle serait intervenue, elle a déjà été écartée et il n'y a pas lieu d'y revenir. Il appert donc bien que la recourante a tardé à invoquer ce motif de résiliation, de sorte que la cour cantonale n'a pas transgressé le droit fédéral en déduisant de cette attitude que le motif en question ne rendait pas insupportable la poursuite du rapport de travail jusqu'à son terme. Au demeurant, il ne ressort pas du contenu du contrat de travail, tel qu'il a été constaté définitivement, que l'obtention de ce prêt bancaire aurait été une condition mise au contrat de travail. Il n'apparaît pas non plus que la non-obtention de ce crédit puisse être considérée comme une violation par le travailleur de ses obligations découlant du contrat de travail. Il n'y a pas l'ombre d'un juste motif de résiliation. La détermination du montant alloué n'étant pas remise en cause, la question ne saurait être revue.</w:t>
      </w:r>
    </w:p>
    <w:p>
      <w:r>
        <w:rPr>
          <w:b/>
        </w:rPr>
        <w:t>E. 4</w:t>
      </w:r>
    </w:p>
    <w:p>
      <w:r>
        <w:t>Il suit de là que le recours doit être rejeté, l'arrêt attaqué étant confirmé. La procédure est gratuite, puisque la valeur litigieuse, selon la prétention du demandeur à l'ouverture de l'action ( ATF 100 II 358 ), ne dépasse pas 30 000 fr. ( art. 343 al. 2 et 3 CO ). Cette règle vaut pour tous les degrés de juridiction, y compris pour la procédure devant le Tribunal fédéral ( ATF 98 Ia 561 consid. 6a). En revanche, des dépens peuvent être alloués à la partie qui obtient gain de cause ( ATF 115 II 30 consid. 5c; 110 II 273 consid. 3). L'intimé a cependant procédé sans avocat et ne démontre pas avoir assumé des frais pour sa défense devant le Tribunal fédéral, de sorte qu'il ne se justifie pas de lui allouer des dépens (cf.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