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4C.334/2003 vom 17. Februar 2004</w:t>
      </w:r>
    </w:p>
    <w:p>
      <w:r>
        <w:t>Bundesgericht, 2004-02-17, FR</w:t>
      </w:r>
    </w:p>
    <w:p>
      <w:r>
        <w:rPr>
          <w:b/>
        </w:rPr>
        <w:t xml:space="preserve">Quelle: </w:t>
      </w:r>
      <w:r>
        <w:t>https://mcp.opencaselaw.ch/entscheid/bger_4C.334_2003</w:t>
      </w:r>
    </w:p>
    <w:p>
      <w:r>
        <w:t>FR: TF 4C.334/2003 du 17 février 2004</w:t>
      </w:r>
    </w:p>
    <w:p>
      <w:r>
        <w:t>IT: TF 4C.334/2003 del 17 febbraio 2004</w:t>
      </w:r>
    </w:p>
    <w:p>
      <w:pPr>
        <w:pStyle w:val="Heading2"/>
      </w:pPr>
      <w:r>
        <w:t>Erwägungen</w:t>
      </w:r>
    </w:p>
    <w:p>
      <w:r>
        <w:rPr>
          <w:b/>
        </w:rPr>
        <w:t>E. 1.1</w:t>
      </w:r>
    </w:p>
    <w:p>
      <w:r>
        <w:t>Selon l' art. 451a al. 1 CPC /VD, le recours en réforme cantonal peut être formé contre un jugement de la Cour civile, entre autres hypothèses, lorsque, dans une contestation pécuniaire susceptible d'un recours en réforme au Tribunal fédéral, la Cour a appliqué concurremment le droit fédéral et le droit cantonal, comme c'est ici le cas. Dans une telle hypothèse, seul l'arrêt rendu par la Chambre des recours peut être attaqué devant le Tribunal fédéral par la voie du recours en réforme (arrêt 4C.427/1993 du 14 septembre 1994, consid. 2b). Le demandeur a donc eu raison de n'entreprendre, par son recours en réforme fédéral, que l'arrêt de la Chambre des recours, à l'exclusion du jugement de la Cour civile. Cette circonstance n'interdit pas de se référer à ce jugement, dans la mesure où la Chambre des recours y fait siennes les constatations de fait et certains considérants de ce dernier.</w:t>
      </w:r>
    </w:p>
    <w:p>
      <w:r>
        <w:rPr>
          <w:b/>
        </w:rPr>
        <w:t>E. 2</w:t>
      </w:r>
    </w:p>
    <w:p>
      <w:r>
        <w:t>Dans l'arrêt de principe déjà plusieurs fois mentionné à propos du recours de droit public ( ATF 125 III 131 ), le Tribunal fédéral a rappelé que c'est le droit fédéral matériel qui détermine le contenu minimal que la forme authentique doit recouvrir pour que l'acte soit valable, les cantons devant établir les modalités de la forme authentique, à teneur de l'art. 55 al. 1 Titre final CC. En l'absence de définition dans le code civil, il appartient à la jurisprudence et à la doctrine de délimiter les contours de la notion fédérale de forme authentique ( ATF 125 III 131 consid. 4a et 5b et les références, p. 133/134; Jürg Schmid, Commentaire bâlois, n. 6 et 7 ad art. 55 Titre final CC; cf. aussi Beck, Commentaire bernois, n. 5 et 14 ad art. 55 Titre final CC). En l'espèce, le demandeur ne soutient pas que l'acte de cautionnement ne respecte pas les conditions minimales fixées par le droit fédéral, mais qu'en écartant l'application du droit cantonal déterminant (art. 72 al. 1 et 99 de la loi vaudoise sur le notariat) la cour cantonale aurait déclaré valide un acte de cautionnement qui n'a pas été revêtu en réalité de la forme authentique visée par l' art. 493 al. 2 CO .</w:t>
      </w:r>
    </w:p>
    <w:p>
      <w:r>
        <w:t>Dans la mesure où le moyen est recevable au regard de l' art. 55 al. 1 let . c OJ, il doit être rejeté pour les motifs énoncés dans l'arrêt du Tribunal de céans rendu ce jour sur le recours de droit public.</w:t>
      </w:r>
    </w:p>
    <w:p>
      <w:r>
        <w:rPr>
          <w:b/>
        </w:rPr>
        <w:t>E. 3</w:t>
      </w:r>
    </w:p>
    <w:p>
      <w:r>
        <w:t>Invoquant l'art. 55 al. 1 Titre final CC, le demandeur estime que la jurisprudence fédérale ne permet pas de dresser la liste précise des formalités ou opérations dont la réunion opère, au regard du droit fédéral, la forme authentique.</w:t>
      </w:r>
    </w:p>
    <w:p>
      <w:r>
        <w:t>Ce faisant, il se réfère aux modalités de mise en oeuvre de la forme authentique, qui relèvent du droit cantonal, que la Chambre des recours a implicitement vérifiées au consid. 4c in fine, p. 10 de son arrêt, en se rapportant aux motifs avancés par la Cour civile et fondés sur la jurisprudence cantonale, soit l'arrêt de principe JT 1995 III 108 ss. Comme l'art. 55 al. 1 Titre final CC n'est qu'une disposition de renvoi au droit cantonal en ce qui concerne les modalités de la forme authentique, la question a été traitée dans l'arrêt rendu ce jour entre les mêmes parties sur le recours de droit public.</w:t>
      </w:r>
    </w:p>
    <w:p>
      <w:r>
        <w:t>Ce deuxième moyen doit être écarté.</w:t>
      </w:r>
    </w:p>
    <w:p>
      <w:r>
        <w:rPr>
          <w:b/>
        </w:rPr>
        <w:t>E. 4</w:t>
      </w:r>
    </w:p>
    <w:p>
      <w:r>
        <w:t>Vu l'issue de la cause, le demandeur supportera les frais de justice et versera une indemnité de dépens à la défenderesse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