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4C.329/2003 vom 8. April 2004</w:t>
      </w:r>
    </w:p>
    <w:p>
      <w:r>
        <w:t>Bundesgericht, 2004-04-08, DE</w:t>
      </w:r>
    </w:p>
    <w:p>
      <w:r>
        <w:rPr>
          <w:b/>
        </w:rPr>
        <w:t xml:space="preserve">Quelle: </w:t>
      </w:r>
      <w:r>
        <w:t>https://mcp.opencaselaw.ch/entscheid/bger_4C.329_2003</w:t>
      </w:r>
    </w:p>
    <w:p>
      <w:r>
        <w:t>FR: TF 4C.329/2003 du 8 avril 2004</w:t>
      </w:r>
    </w:p>
    <w:p>
      <w:r>
        <w:t>IT: TF 4C.329/2003 del 8 aprile 2004</w:t>
      </w:r>
    </w:p>
    <w:p>
      <w:pPr>
        <w:pStyle w:val="Heading2"/>
      </w:pPr>
      <w:r>
        <w:t>Erwägungen</w:t>
      </w:r>
    </w:p>
    <w:p>
      <w:r>
        <w:rPr>
          <w:b/>
        </w:rPr>
        <w:t>E. 1</w:t>
      </w:r>
    </w:p>
    <w:p>
      <w:r>
        <w:t>Der Kläger verzichtet in der Berufung ausdrücklich auf seine Eventualbegehren und auf den eingeklagten Gewinnanspruch. Hingegen hält er an seinem Anspruch auf Erstattung der Einlagen im Betrage von Fr. 100'000.-- und Fr. 105'000.-- fest. Diese Forderung hat der Kläger bereits im kantonalen Verfahren gestellt, wie aus dem angefochtenen Urteil hervorgeht. Entgegen der Auffassung der Beklagten ist sein Begehren nicht neu. Art. 55 Abs. 1 lit. b OG steht daher einem Eintreten auf die Berufung nicht entgegen.</w:t>
      </w:r>
    </w:p>
    <w:p>
      <w:r>
        <w:rPr>
          <w:b/>
        </w:rPr>
        <w:t>E. 2.1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und d OG ; BGE 130 III 102 E. 2.2 S. 106; 127 III 248 E. 2c S. 252, je mit Hinweisen). Fehl am Platz sind Ausführungen, die sich in unzulässiger Weise gegen tatsächliche Feststellungen der Vorinstanz richten, Rügen der Verletzung von Verfassungsrecht (vgl. Art. 43 Abs. 1 Satz 2 OG ) und Erörterungen über die Anwendung kantonalen Rechts (vgl. Art. 43 Abs. 1 und 2 OG ).</w:t>
      </w:r>
    </w:p>
    <w:p>
      <w:r>
        <w:t>Wer vor Bundesgericht eine Verletzung des Rechts zum Beweis rügt, hat konkret darzulegen, welche von ihm angebotenen Beweise der Sachrichter hätte abnehmen sollen, mit den erforderlichen Hinweisen, dass er diese Beweisanträge form- und fristgerecht gestellt hat; ausserdem hat er aufzuzeigen, welche rechtserheblichen Tatsachen damit hätten bewiesen werden sollen (Jean-François Poudret, Commentaire de la loi fédérale d'organisation judiciaire, Vol. II, Bern 1990, N. 1.5.2.3 zu Art. 55 OG ). Die Frage nach der Beweislastverteilung wird nach ständiger Rechtsprechung des Bundesgerichts indessen gegenstandslos, wenn die Vorinstanz aufgrund eines Beweisverfahrens zum Ergebnis gelangt ist, bestimmte Tatsachenbehauptungen seien bewiesen oder widerlegt ( BGE 129 III 18 E. 2.6 S. 25; 128 III 271 E. 2b/aa S. 277, je mit Hinweisen).</w:t>
      </w:r>
    </w:p>
    <w:p>
      <w:r>
        <w:rPr>
          <w:b/>
        </w:rPr>
        <w:t>E. 2.2</w:t>
      </w:r>
    </w:p>
    <w:p>
      <w:r>
        <w:t>Soweit der Kläger diese Schranken missachtet, ist auf die Berufung nicht einzutreten.</w:t>
      </w:r>
    </w:p>
    <w:p>
      <w:r>
        <w:rPr>
          <w:b/>
        </w:rPr>
        <w:t>E. 2.2.1</w:t>
      </w:r>
    </w:p>
    <w:p>
      <w:r>
        <w:t>Das gilt für die Behauptung, die Änderung des Vertrags vom 29. Mai 1995 sei auf Druck der Beklagten zustande gekommen. Nach dem angefochtenen Urteil ist diese Behauptung unbewiesen geblieben. Auch die in diesem Zusammenhang erhobene Rüge der Verletzung von Art. 8 ZGB ist unbegründet. Der Kläger beanstandet, dass die kantonalen Gerichte die von ihm angebotenen Zeugen zu einem in der Klageschrift behaupteten Vorfall, der sich im Sommer 1997 zugetragen haben soll, nicht befragt haben. Der Kläger hatte dargelegt, dass er sich damals einem Vorschlag B.________'s, weitere Beteiligungen an der Beklagten zu erwerben, widersetzt habe, was B.________ enttäuscht und verärgert habe. Anschliessend sei er telefonisch auch noch vom Controller der X.________ Gruppe bedrängt worden, die Aktien der Beklagten, wie von B.________ gewünscht, zu erwerben, damit die Kirche im Dorf bleibe. Der Kläger habe sich jedoch dem Ansinnen widersetzt. Diese Behauptungen würden, selbst wenn sie bewiesen wären, keine Rückschlüsse mit Bezug auf das Zustandekommen der hier zu beurteilenden Verträge vom 29. Mai 1995 und vom 30. Juli 1997 zulassen. Allenfalls würden sie belegen, dass eine Weigerung des Klägers, die offerierten Optionen zu erwerben, keinerlei Sanktionen nach sich zog. Die Beweisanträge waren daher nicht geeignet für den Nachweis einer rechtserheblichen Drucksituation des Klägers bei Abschluss der Verträge. Ein Anspruch auf Zulassung zum Beweis bestand insoweit nicht.</w:t>
      </w:r>
    </w:p>
    <w:p>
      <w:r>
        <w:rPr>
          <w:b/>
        </w:rPr>
        <w:t>E. 2.2.2</w:t>
      </w:r>
    </w:p>
    <w:p>
      <w:r>
        <w:t>Ohne substanziierte Sachverhaltsrügen zu erheben geht der Kläger sodann entgegen den Feststellungen im angefochtenen Urteil davon aus, die Beklagte habe den Austritt des Klägers aus der X.________ Gruppe provoziert. Damit und mit den darauf abgestützten Rügen ist er nicht zu hören.</w:t>
      </w:r>
    </w:p>
    <w:p>
      <w:r>
        <w:rPr>
          <w:b/>
        </w:rPr>
        <w:t>E. 2.2.3</w:t>
      </w:r>
    </w:p>
    <w:p>
      <w:r>
        <w:t>Am Ende seiner Berufungsschrift erhebt der Kläger schliesslich in allgemeiner Form gehaltene und damit den Begründungsanforderungen nicht genügende Rügen der Verletzung von Art. 8 ZGB sowie der Verletzung seines Anspruchs auf rechtliches Gehör ( Art. 29 Abs. 2 BV ), welcher Verfassungsrecht beschlägt und der Berufung nicht zugänglich ist. Insoweit ist auf die Berufung nicht einzutreten.</w:t>
      </w:r>
    </w:p>
    <w:p>
      <w:r>
        <w:rPr>
          <w:b/>
        </w:rPr>
        <w:t>E. 3</w:t>
      </w:r>
    </w:p>
    <w:p>
      <w:r>
        <w:t>Mit der Berufung macht der Kläger geltend, die streitigen Klauseln seien rechts- und sittenwidrig im Sinne von Art. 19 Abs. 2 und Art. 20 Abs. 1 OR . Die stipulierte Bedingung für die Ausübung der Optionsrechte, der Bestand eines ungekündigten Arbeitsverhältnisses zwischen dem Berechtigten und einer der X.________ Gesellschaften, führe zu ungleichen Kündigungsfristen in jenem Arbeitsverhältnis, auf welches in den Verträgen Bezug genommen werde. Aus wirtschaftlichen Gründen sei der Arbeitnehmer faktisch auf mehrere Jahre gebunden, wogegen für die Beklagte geradezu ein Anreiz bestehe, auf die von ihr kontrollierte Arbeitgeberin des Berechtigten hinzuwirken, damit diese das Arbeitsverhältnis vorzeitig beende. Darin liege eine Umgehung von Art. 335a OR , mithin eine Rechts- und Sittenwidrigkeit ( Art. 19 Abs. 2, Art. 20 Abs. 1 OR ), was die Vorinstanz missachtet und dadurch gegen die genannte zwingende Bestimmung verstossen habe.</w:t>
      </w:r>
    </w:p>
    <w:p>
      <w:r>
        <w:t>Nach Auffassung des Klägers ist die Vorinstanz ferner zu Unrecht nicht darauf eingegangen, dass die in Ziffer 4 der beiden Verträge aufgenommene Regelung gegen das so genannte "Truck-Verbot" verstosse, weil der Kläger die Beteiligungsrechte, welche systemimmanent mit dem Arbeitsverhältnis verknüpft gewesen seien, nicht etwa unentgeltlich erhalten habe, sondern von der Beklagten käuflich habe erwerben müssen. Die Auslegung von Ziffer 4 der Beteiligungsverträge durch die Vorinstanz habe zudem das Recht des Klägers auf Kündigung aus wichtigem Grund im Sinne des zwingenden Art. 337 Abs. 1 OR eingeschränkt, was die Vorinstanz von Amtes wegen hätte berücksichtigen müssen.</w:t>
      </w:r>
    </w:p>
    <w:p>
      <w:r>
        <w:rPr>
          <w:b/>
        </w:rPr>
        <w:t>E. 4.1</w:t>
      </w:r>
    </w:p>
    <w:p>
      <w:r>
        <w:t>Zunächst ist festzuhalten, dass die Beklagte, welche mit dem Kläger die Beteiligungsverträge geschlossen hat, nicht die Arbeitgeberin des Klägers war, sondern deren Muttergesellschaft, wie die Vorinstanz zutreffend hervorhob. Andererseits ist den Verträgen die Besonderheit eigen, dass die übertragenen Optionen an das Arbeitsverhältnis zwischen dem Kläger und der Tochtergesellschaft der Beklagten gekoppelt und durch dessen Bestand bedingt sind. Damit charakterisieren sie sich als Verträge zur Mitarbeiterbeteiligung (plan d'intéressement, stock option plan), indem sie dem Arbeitnehmer die Möglichkeit eröffnen, sich am Erfolg des Unternehmens bzw. der Unternehmensgruppe, zu welcher die Arbeitgeberin gehört, zu beteiligen. Dabei trägt der Arbeitnehmer auch das Risiko einer Wertverminderung (Manfred Rehbinder, Schweizerisches Arbeitsrecht, 15. Aufl., Bern 2002, Rz. 174). Die Statuten können die Einräumung von Optionen an einen bestimmten Kreis von Arbeitnehmern zum Bezug (call options) oder zur Veräusserung (put options) einer bestimmten Anzahl von Aktien der Arbeit gebenden oder einer dieser nahe stehenden Gesellschaft zu im Voraus festgelegten Bedingungen ( Art. 653b Abs. 1 Ziff. 3 OR ) während einer bestimmten Frist vorsehen. Die zur Ausübung der Optionen erforderlichen Aktien können - für die Gesellschaft kostenneutral - im Verfahren der bedingten Kapitalerhöhung nach Art. 653 OR unter Ausschluss der Bezugsrechte der Aktionäre ( Art. 652b Abs. 2 OR ) bereitgestellt werden (Peter R. Isler/Gaudenz G. Zindel, Basler Kommentar, 2. Aufl., N. 15 f. zu Art. 653 OR ; Peter Böckli, Schweizer Aktienrecht, 2. Aufl., Zürich 1996, Rz. 450; BGE 121 III 219 E. 5 S. 239 ff. betreffend BK Vision AG). Mit der Mitarbeiterbeteiligung werden mehrere Zwecke verfolgt: Erhöhung der Attraktivität der Gesellschaft als Arbeitgeberin für hoch qualifizierte Arbeitskräfte; Motivation der Mitarbeitenden, indem diese von dem durch sie geschaffenen Wert profitieren können; Bindung des Kaders an die Gesellschaft, jedenfalls bis zum Zeitpunkt der Ausübung der Option; Gleichschaltung der Ziele der Angestellten, der Aktionäre und des Managements (Andreas von Planta, Les plans d'intéressement - Aspects du droit commercial, in: Grégoire Bovet (Hrsg.), Les plans d'intéressement - Stock Option Plans, Lausanne 2001, S. 43; Hans-Joachim Jaeger, Economic Aspects of Granting Employee Stock Options in Switzerland, in: Bovet (Hrsg.), a.a.O., S. 13; Andreas Risi, Besteuerung von Mitarbeiterbeteiligungen - der Bericht der gemischten Arbeitsgruppe, in: IFF Forum für Steuerrecht 2002, S. 214; Christof Helbling, Mitarbeiteraktien und Mitarbeiteroptionen in der Schweiz, 2. Aufl., Zürich 2003, S. 45; Beat Walti, Mitarbeiterbeteiligung, Diss. Zürich 1997, S. 17 ff.). Die Ausgestaltung im Einzelnen ist weitgehend den Gesellschaften überlassen und wird von den jeweils vorrangig verfolgten Zwecken geleitet. So kann die Option entgeltlich, vergünstigt oder unentgeltlich eingeräumt werden, bis zu einem bestimmten Verfalltag (American style option) oder nur an einem bestimmten Verfalltag (European style option) zur Ausübung berechtigen oder die Laufzeit kann mit einer Sperrfrist versehen sein. Das Aufleben des Rechts zum Bezug (gegebenenfalls zum Verkauf) der Aktien wird gemeinhin als "vesting" bezeichnet (von Planta, a.a.O., S. 47; Helbling, a.a.O., S. 162).</w:t>
      </w:r>
    </w:p>
    <w:p>
      <w:r>
        <w:rPr>
          <w:b/>
        </w:rPr>
        <w:t>E. 4.2.1</w:t>
      </w:r>
    </w:p>
    <w:p>
      <w:r>
        <w:t>Endet das Arbeitsverhältnis vor dem vereinbarten Datum für die Ausübung, kann die Option entschädigungslos verfallen (Helbling, a.a.O., S. 15 f. und S. 161 f.). Daraus können sich aus arbeitsrechtlicher Sicht Probleme ergeben, namentlich dann, wenn die Aktien oder Optionen gratis oder unter dem Marktwert abgegeben wurden und Lohnbestandteil bilden (Rémy Wyler, Droit du travail, Bern 2002, S. 626). In dieser Hinsicht kommt es nicht darauf an, wie das in Frage stehende Mitarbeiterbeteiligungsmodell gestaltet ist, ob die Mitarbeitenden an der Arbeitgebergesellschaft selbst, an einer mit dieser im gleichen Konzern verbundenen anderen, an einer eigens für die Beteiligung geschaffenen oder an der Muttergesellschaft beteiligt wurden. Steht die Arbeitgeberin wie vorliegend zu 100 % im Besitz einer Holding, bleibt für eine Beteiligung an dieser selbst kein Raum und drängt sich ein Modell unter Vergabe von Anrechten an der börsenkotierten Holding auf (vgl. zum Ganzen Helbling, a.a.O., S. 253 ff.). Dass auch bei einer derartigen Konstellation die zwingenden Vorschriften des Arbeitsrechts (Art. 361 f. OR) nicht unterlaufen werden dürfen, versteht sich von selbst. Wenn die Vorinstanz erklärt, im Verhältnis zur Beklagten, der Muttergesellschaft der Arbeitgeberin, kämen arbeitsrechtliche Bestimmungen von vornherein nicht zur Anwendung, erscheint dies angesichts des engen Bezugs zwischen den Optionsverträgen und dem Arbeitsverhältnis in dieser apodiktischen Formulierung zwar fragwürdig, unter den konkreten Umständen im Ergebnis jedoch zutreffend, wie nachstehend zu zeigen ist.</w:t>
      </w:r>
    </w:p>
    <w:p>
      <w:r>
        <w:rPr>
          <w:b/>
        </w:rPr>
        <w:t>E. 4.2.2</w:t>
      </w:r>
    </w:p>
    <w:p>
      <w:r>
        <w:t>Wie Wyler, a.a.O., S. 629 f., zutreffend anführt, entfällt der Arbeitnehmerschutz, wenn der Arbeitnehmer beim Erwerb der Mitarbeiterbeteiligung vornehmlich als Anleger handelt, der das mit der Anlage verbundene Risiko in der Erwartung eines hohen Kapitalgewinns aus freien Stücken akzeptiert. Das kann auch der Fall sein, wenn sich die Beteiligung bei einem hoch dotierten Kader oder Angestellten als Bonus und damit als Gegenleistung für seine Tätigkeit darstellt. Diesfalls gelten die Bestimmungen der Beteiligungsvereinbarung ohne Rücksicht auf zwingende Vorschriften des Arbeitsrechts. Ob die Beteiligung sich als Bestandteil des Arbeitsvertrages oder als davon losgelöste Investition ausnimmt, ist stets aufgrund der Verhältnisse des Einzelfalles zu beurteilen. Dabei erscheint insbesondere wesentlich, ob Beteiligungen bzw. Optionen Lohnbestandteil bilden, was sich aus verschiedenen Indizien ergeben kann.</w:t>
      </w:r>
    </w:p>
    <w:p>
      <w:r>
        <w:rPr>
          <w:b/>
        </w:rPr>
        <w:t>E. 4.2.3</w:t>
      </w:r>
    </w:p>
    <w:p>
      <w:r>
        <w:t>Der Kläger hat die streitigen Optionen käuflich erworben und dafür einen Preis bezahlt, den er selbst nicht als besonders vorteilhaft ausgibt. Vielmehr ging er mit den Investitionen in die Optionen ein unternehmerisches Risiko ein, weil er die erfolgreiche Zukunft der Beklagten vor Augen hatte, wie er im kantonalen Verfahren dargelegt hat. Die zugeteilten Optionen stellen somit keinen Lohnbestandteil dar, was gegen die Anwendung der arbeitsrechtlichen Schutzvorschriften spricht. Hinzu kommt, dass der Kläger bei Abschluss des Beteiligungsvertrages vom 29. Mai 1995 bereits vom Prokuristen zum Leiter der Abteilung "Investment Research" befördert worden war und ein Jahresgehalt von Fr. 90'000.-- bezog, bei Abschluss des Optionsvertrages vom 30. Juli 1997 im Alter von dreissig Jahren ein solches von Fr. 150'000.--, was der Stellung eines gut bezahlten höheren Angestellten entspricht. Sodann ist davon auszugehen, dass der Abschluss der Verträge seinem freien Willen entsprang (vgl. E. 2.2 hiervor). Aufgrund seiner Kenntnisse als Investitionsfachmann erwartete er einen hohen Gewinn unter Begrenzung des maximalen Verlustes auf den eingesetzten Kaufpreis. Die für die Optionen geleisteten Zahlungen charakterisieren sich damit klar als auf einem Anlageentscheid beruhende Investition, die dem Kläger aufgrund seiner Anstellung bei einer dem beklagtischen Konzern angehörenden Gesellschaft ermöglicht wurde. Dem Kläger bleibt aus den dargelegten Gründen insoweit die Anrufung der zwingenden arbeitsrechtlichen Schutzvorschriften und der aus deren Verletzung abgeleiteten Sittenwidrigkeit verwehrt.</w:t>
      </w:r>
    </w:p>
    <w:p>
      <w:r>
        <w:rPr>
          <w:b/>
        </w:rPr>
        <w:t>E. 4.2.4</w:t>
      </w:r>
    </w:p>
    <w:p>
      <w:r>
        <w:t>Mit Bezug auf den Einwand des Klägers, die streitige Klausel in den Verträgen beraube ihn wegen der negativen wirtschaftlichen Konsequenzen seines Rechts auf Kündigung aus wichtigem Grund ( Art. 337 Abs. 1 OR ), ist anzufügen, dass dem Kläger unbenommen bliebe, für seinen wegen der vorzeitigen Beendigung des Arbeitsverhältnisses entstandenen Schaden von seiner früheren Arbeitgeberin vollen Ersatz zu fordern, sollte diese durch eine schuldhafte Vertragsverletzung den Kündigungsgrund gesetzt haben ( Art. 337b Abs. 1 OR ). Gegebenenfalls stünde ihm eine Entschädigung nach richterlichem Ermessen zu ( Art. 337b Abs. 2 OR ). Jedenfalls hätte die Liquidation des Schadens im Verhältnis zur Arbeitgeberin, die den Schaden verursacht hat, zu erfolgen, und nicht im Verhältnis zur übergeordneten Konzerngesellschaft. Im vorliegenden Verfahren sind daher die vom Kläger ausführlich dargestellten Gründe dessen Austritts aus der X.________ Bank AG nicht rechtserheblich. Für einen Durchgriff auf die Muttergesellschaft, wie er dem Kläger in diesem Zusammenhang vorschwebt, bleibt kein Raum, ist dazu doch mehr erforderlich als der blosse Umstand, dass B.________ sowohl bei der Beklagten als auch bei der X.________ Bank AG Organstellung zukommt. Dass eine Berufung der Beklagten auf die rechtliche Selbständigkeit der X.________ Bank AG in dieser Hinsicht missbräuchlich wäre, zeigt der Kläger nicht auf und ist nicht ersichtlich (Peter Forstmoser/Arthur Meier-Hayoz/Peter Nobel, Schweizerisches Aktienrecht, Bern 1996, § 62 Rz. 51 f.; Roland von Büren, Der Konzern, Schweizerisches Privatrecht, Bd. VIII/6, Basel 1997, S. 171 ff.; vgl. auch Thomas Geiser/Kai-Peter Uhlig, Arbeitsverhältnisse im Konzern, in: ZBJV 139/ 2003, S. 789 ff.). Deshalb haftet die Beklagte auch nicht für allfällige Verletzungen der Fürsorgepflicht der Arbeitgeberin des Klägers nach Art. 328 OR .</w:t>
      </w:r>
    </w:p>
    <w:p>
      <w:r>
        <w:t>Ebenso wenig kann vor diesem Hintergrund im Ernst davon die Rede sein, die umstrittene Regelung habe zu einer sittenwidrigen Konventionalstrafe geführt. Nicht zu prüfen - da ohne Bezug zum vorliegenden Fall - ist schliesslich die vom Kläger aufgeworfene Frage, welche Regelung Platz greifen müsste, sofern die X.________ Bank AG dem Beklagten grundlos gekündigt hätte.</w:t>
      </w:r>
    </w:p>
    <w:p>
      <w:r>
        <w:rPr>
          <w:b/>
        </w:rPr>
        <w:t>E. 5</w:t>
      </w:r>
    </w:p>
    <w:p>
      <w:r>
        <w:t>Der Kläger leitet die behauptete Sittenwidrigkeit der streitigen Klauseln auch aus Art. 27 Abs. 2 ZGB ab, welcher vor rechtsgeschäftlichen Bindungen schützt, die gegen das in Art. 19 Abs. 2 OR enthaltene Recht der Persönlichkeit verstossen (Claire Huguenin, Basler Kommentar, 2. Aufl., N. 8 f. zu Art. 27 ZGB ; Ernst A. Kramer, Berner Kommentar, N. 208 zu Art. 19-20 OR ). Zur Begründung weist der Kläger einzig darauf hin, dass die Optionen erst fünf Jahre nach deren Erwerb ausübbar waren. Wie dargelegt (E. 4.1 hiervor) besteht einer der mit der Abgabe von Mitarbeiteroptionen verfolgten Zwecke gerade darin, das Arbeitsverhältnis auf eine gewisse Dauer zu stabilisieren. Den Mitarbeitenden verschaffen zeitlich limitierte Verfügungssperren zudem steuerliche Vorteile. In der Lehre wird denn auch erst bei Verfügungssperren von mehr als zwei bis fünf Jahren von "goldenen Fesseln" der Mitarbeiter gesprochen (Walti, a.a.O., S. 83, mit Hinweisen). Nach der Art. 334 Abs. 3 OR zugrunde liegenden Wertung verletzt erst ein auf mehr als zehn Jahre abgeschlossener Arbeitsvertrag die persönliche Freiheit im Sinne von Art. 27 ZGB (Manfred Rehbinder/Wolfgang Portmann, Basler Kommentar, 3. Aufl., N. 9 zu Art. 334 OR ). Von der in begründeter Erwartung eines hohen Gewinns freiwillig auf fünf Jahre eingegangenen Bindung des Klägers lässt sich demnach nicht sagen, sie überschreite jedes zulässige Mass, zumal der Kläger aus mehrjähriger Erfahrung die Perspektiven eines fünfjährigen Verbleibens bei der X.________ Bank AG abzuschätzen in der Lage war (allgemein zu den Beurteilungskriterien vgl. Huguenin, a.a.O., N. 10 und 15 zu Art. 27 ZGB , mit Hinweisen). Ein Verstoss gegen die guten Sitten ( Art. 19 Abs. 2, Art. 20 Abs. 1 OR ) ist nicht gegeben.</w:t>
      </w:r>
    </w:p>
    <w:p>
      <w:r>
        <w:rPr>
          <w:b/>
        </w:rPr>
        <w:t>E. 6</w:t>
      </w:r>
    </w:p>
    <w:p>
      <w:r>
        <w:t>Nach dem diesbezüglich unangefochtenen erstinstanzlichen Urteil, auf welches die Vorinstanz verweist, führt eine Auslegung von Ziffer 4 der Verträge nach dem Vertrauensprinzip zum Ergebnis, dass die Optionen entschädigungslos verfallen, wenn der Kläger vor dem Verfalltag aus dem Arbeitsverhältnis ausscheidet. Ausnahmen sind nur bei gesundheitlichen Problemen oder im Todesfall vorgesehen. Diese Regelung hat sich nach dem Gesagten weder als gesetzes- noch als sittenwidrig erwiesen und ist umzusetzen. Da der Kläger unstreitig vor den in den Verträgen festgesetzten Verfalltagen aus der X.________ Gruppe ausgeschieden war, hat er seine Optionsrechte verwirkt. Die gegenüber der Beklagten erhobenen Schadenersatzansprüche sind unbegründet. Die Berufung ist unter Kosten- und Entschädigungsfolgen zu Lasten des Klägers abzuweisen (Art. 156 Abs. 1 und 159 Abs. 1 und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