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4C.325/2006 vom 28. November 2006</w:t>
      </w:r>
    </w:p>
    <w:p>
      <w:r>
        <w:t>Bundesgericht, 2006-11-28, FR</w:t>
      </w:r>
    </w:p>
    <w:p>
      <w:r>
        <w:rPr>
          <w:b/>
        </w:rPr>
        <w:t xml:space="preserve">Quelle: </w:t>
      </w:r>
      <w:r>
        <w:t>https://mcp.opencaselaw.ch/entscheid/bger_4C.325_2006</w:t>
      </w:r>
    </w:p>
    <w:p>
      <w:r>
        <w:t>FR: TF 4C.325/2006 du 28 novembre 2006</w:t>
      </w:r>
    </w:p>
    <w:p>
      <w:r>
        <w:t>IT: TF 4C.325/2006 del 28 novembre 2006</w:t>
      </w:r>
    </w:p>
    <w:p>
      <w:pPr>
        <w:pStyle w:val="Heading2"/>
      </w:pPr>
      <w:r>
        <w:t>Regeste</w:t>
      </w:r>
    </w:p>
    <w:p>
      <w:r>
        <w:t>contrat de travail; résiliation immédiate | Droit des contrats</w:t>
      </w:r>
    </w:p>
    <w:p>
      <w:pPr>
        <w:pStyle w:val="Heading2"/>
      </w:pPr>
      <w:r>
        <w:t>Erwägungen</w:t>
      </w:r>
    </w:p>
    <w:p>
      <w:r>
        <w:rPr>
          <w:b/>
        </w:rPr>
        <w:t>E. 1</w:t>
      </w:r>
    </w:p>
    <w:p>
      <w:r>
        <w:t>Le recours est formé par une partie qui a succombé dans des conclusions concernant sa propre situation juridique. Il est dirigé contre un jugement final rendu en dernière instance cantonale par un tribunal suprême ( art. 48 al. 1 OJ ), dans une contestation civile dont la valeur litigieuse dépasse le seuil de 8'000 fr. ( art. 46 OJ ). Il a été déposé en temps utile ( art. 54 al. 1 OJ ) et dans les formes requises ( art. 55 OJ ). Selon la jurisprudence relative à l' art. 55 al. 1 let. b OJ , le mémoire du recours en réforme doit comporter des conclusions chiffrées lorsque la contestation porte sur des sommes d'argent. Le recours par lequel on requiert seulement l'annulation de la décision attaquée est en principe irrecevable faute de satisfaire à cette exigence, sauf s'il apparaît qu'en cas d'admission des griefs présentés, le Tribunal fédéral ne pourrait de toute manière pas rendre un jugement final et que la cause devrait être renvoyée à la juridiction cantonale en application de l' art. 64 al. 1 OJ , pour complètement de l'état de fait et nouvelle décision ( ATF 95 II 433 consid. 1 p. 436; voir aussi ATF 111 II 384 consid. 1 in fine p. 386; 106 II 201 consid. 1 p. 203). En l'occurrence, le demandeur s'abstient de présenter des conclusions chiffrées et il se borne à réclamer l'annulation du jugement rendu le 21 août 2006. Au regard de la disposition précitée, la recevabilité du recours est donc douteuse; elle souffre toutefois de rester indécise car les griefs soulevés sont de toute manière voués à l'échec. Le recours en réforme peut être exercé pour violation du droit fédéral, à l'exclusion des droits constitutionnels et du droit cantonal ( art. 43 al. 1 OJ ; ATF 127 III 248 consid. 2c et les arrêts cités). Sous réserve d'exceptions qui ne sont pas réalisées dans la présente affaire, le Tribunal fédéral doit conduire son raisonnement juridique sur la base des faits constatés dans la décision attaquée ( art. 63 al. 2 et 64 OJ ; ATF 130 III 102 consid. 2.2 p. 106, 136 consid. 1.4 p. 140). La partie recourante n'est pas autorisée à critiquer les constatations de fait ni à alléguer des faits qui n'ont pas été constatés ( art. 55 al. 1 let . c OJ). L'argumentation du demandeur est donc de toute façon irrecevable dans la mesure où elle repose sur les procès-verbaux d'audition des témoins ou sur les pièces du dossier plutôt que sur les constatations du Tribunal cantonal.</w:t>
      </w:r>
    </w:p>
    <w:p>
      <w:r>
        <w:rPr>
          <w:b/>
        </w:rPr>
        <w:t>E. 2</w:t>
      </w:r>
    </w:p>
    <w:p>
      <w:r>
        <w:t>Le demandeur reproche au Tribunal cantonal d'avoir retenu à tort l'existence d'un juste motif de résiliation immédiate.</w:t>
      </w:r>
    </w:p>
    <w:p>
      <w:r>
        <w:rPr>
          <w:b/>
        </w:rPr>
        <w:t>E. 2.1</w:t>
      </w:r>
    </w:p>
    <w:p>
      <w:r>
        <w:t>Il est constant que les parties se sont liées par un contrat de travail et que celui-ci était conclu pour une durée déterminée, dont l'échéance était fixée au 30 juin 2004. Le contrat n'était donc pas susceptible d'une résiliation ordinaire avec observation d'un délai de congé, selon l' art. 335 al. 1 CO , mais une résiliation immédiate pour de justes motifs, selon l' art. 337 CO , pouvait entraîner son expiration avant la date convenue (Ullin Streiff et Adrian von Kaenel, Leitfaden zum Arbeitsvertragsrecht, 6e éd., 2006, ch. 4 ad art. 337 CO ).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 (cf. ATF 129 III 380 consid. 2.2). Le juge apprécie librement, selon les règles du droit et de l'équité ( art. 4 CC ), si le congé abrupt répond à de justes motifs ( art. 337 al. 3 CO ). A cette fin, il prend en considération tous les éléments du cas particulier, notamment la position et la responsabilité du travailleur, la nature et la durée des rapports contractuels, ainsi que la nature et l'importance des manquements. Le Tribunal fédéral ne revoit qu'avec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130 III 28 consid. 4.1 p. 32; 130 III 213 consid. 3.1 p. 220; 129 III 380 consid. 2 p. 382).</w:t>
      </w:r>
    </w:p>
    <w:p>
      <w:r>
        <w:rPr>
          <w:b/>
        </w:rPr>
        <w:t>E. 2.2</w:t>
      </w:r>
    </w:p>
    <w:p>
      <w:r>
        <w:t>Le Tribunal cantonal constate qu'en compagnie de Y.________, soit un autre des anciens actionnaires de la défenderesse, le demandeur a visité une entreprise du même secteur d'activité qui était alors à remettre. Reçus par le patron de cette entreprise, ils ont éveillé l'impression d'agir pour le compte de la défenderesse et d'être sérieusement à la recherche d'une occasion d'en développer les affaires par le rachat d'une exploitation similaire. Le tribunal juge que sur la base de l'information à elle parvenue, concernant cette visite, la défenderesse était fondée à croire que les deux anciens actionnaires envisageaient d'acquérir eux-mêmes une exploitation de ce genre et que le demandeur était donc prêt à violer de façon flagrante la prohibition de concurrence souscrite par lui. Le tribunal juge encore que dans le contexte du conflit qui s'était élevé entre les anciens et les nouveaux actionnaires au sujet de la vente des actions, conflit qui avait conduit la défenderesse à suspendre l'activité du demandeur, l'attitude apparemment adoptée par ce dernier détruisait irrémédiablement le rapport de confiance qui doit exister entre les parties au contrat de travail. Le demandeur rejette ce jugement mais il n'avance guère d'arguments pour le réfuter. Selon son exposé, il a accompagné Y.________ sur proposition de celui-ci; leur visite n'était qu'un simple divertissement et aucun des deux n'envisageait de s'engager réellement dans des pourparlers tendant à un rachat de l'entreprise, que ce fût pour leur propre compte ou pour celui de la défenderesse. Cette présentation des faits est irrecevable dans la mesure où elle comprend des éléments exorbitants des constatations opérées par le Tribunal cantonal (consid. 1 ci-dessus). Pour le surplus, même si le demandeur ne cherchait pas à entreprendre de nouvelles opérations dans le domaine des machines destinées à l'industrie, cette autorité peut retenir sans excès de son pouvoir d'appréciation que l'apparence créée par ce plaideur lui était opposable, que cette apparence était gravement contraire aux stipulations du contrat de travail et que dans le contexte conflictuel où elle survenait, on ne pouvait pas attendre de la défenderesse qu'elle poursuivît la relation fondée sur ce contrat.</w:t>
      </w:r>
    </w:p>
    <w:p>
      <w:r>
        <w:rPr>
          <w:b/>
        </w:rPr>
        <w:t>E. 3</w:t>
      </w:r>
    </w:p>
    <w:p>
      <w:r>
        <w:t>Le demandeur reproche au Tribunal cantonal de lui avoir dénié une prétention de 39'000 fr. pour vacances non prises. L'arriéré de vacances remonte censément à l'époque où le demandeur était salarié de M.________ SA; la défenderesse aurait repris l'obligation correspondante. Aux termes des art. 329a al. 1, 329c al. 1 et 329d al. 2 CO, le travailleur a droit à quatre semaines de vacances, au moins, par année de service; en règle générale, elles lui sont accordées à chaque fois pendant l'année correspondante et leur conversion en une prestation en argent est exclue pendant la durée des rapports de travail; cette conversion intervient éventuellement lorsque ceux-ci prennent fin ( ATF 128 III 271 consid. 4 p. 279). Le Tribunal cantonal ne constate pas que pendant certaines années de service, le demandeur n'aurait pas pris toutes les vacances auxquelles il avait droit. Il ne constate donc pas non plus la durée des vacances qui, le cas échéant, restaient à prendre au moment où les rapports de travail se sont terminés. Dans ces conditions, le droit fédéral n'offre aucun fondement à la prétention concernée.</w:t>
      </w:r>
    </w:p>
    <w:p>
      <w:r>
        <w:rPr>
          <w:b/>
        </w:rPr>
        <w:t>E. 4</w:t>
      </w:r>
    </w:p>
    <w:p>
      <w:r>
        <w:t>Le mémoire de recours ne contient aucune allusion aux autres chefs de la contestation terminée par le jugement du 21 août 2006; le Tribunal fédéral n'en est donc pas saisi (art. 55 al. 1 let. b et c OJ). Dans la mesure où il est recevable, le recours doit être rejeté. La procédure du recours en réforme n'est pas gratuite car le montant de la demande, qui détermine la valeur litigieuse selon l' art. 343 al. 2 CO , était supérieur au plafond de 30'000 fr. prévu par cette disposition ( ATF 122 III 495 consid. 4; 115 II 30 consid. 5b p. 41). A titre de partie qui succombe, le demandeur doit donc acquitter l'émolument judiciaire et les dépens auxquels l'autre partie peut prétendre (art. 156 al. 1 et 159 al. 2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