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4C.323/2002 vom 14. Januar 2003</w:t>
      </w:r>
    </w:p>
    <w:p>
      <w:r>
        <w:t>Bundesgericht, 2003-01-14, FR</w:t>
      </w:r>
    </w:p>
    <w:p>
      <w:r>
        <w:rPr>
          <w:b/>
        </w:rPr>
        <w:t xml:space="preserve">Quelle: </w:t>
      </w:r>
      <w:r>
        <w:t>https://mcp.opencaselaw.ch/entscheid/bger_4C.323_2002</w:t>
      </w:r>
    </w:p>
    <w:p>
      <w:r>
        <w:t>FR: TF 4C.323/2002 du 14 janvier 2003</w:t>
      </w:r>
    </w:p>
    <w:p>
      <w:r>
        <w:t>IT: TF 4C.323/2002 del 14 gennaio 2003</w:t>
      </w:r>
    </w:p>
    <w:p>
      <w:pPr>
        <w:pStyle w:val="Heading2"/>
      </w:pPr>
      <w:r>
        <w:t>Regeste</w:t>
      </w:r>
    </w:p>
    <w:p>
      <w:r>
        <w:t>Droit des contrats</w:t>
      </w:r>
    </w:p>
    <w:p>
      <w:pPr>
        <w:pStyle w:val="Heading2"/>
      </w:pPr>
      <w:r>
        <w:t>Erwägungen</w:t>
      </w:r>
    </w:p>
    <w:p>
      <w:r>
        <w:rPr>
          <w:b/>
        </w:rPr>
        <w:t>E. 1</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 Le Tribunal fédéral ne peut aller au-delà des conclusions des parties (qui ne peuvent en prendre de nouvelles: art. 55 al. 1 let. b OJ ), mais il n'est pas lié par les motifs qu'elles invoquent ( art. 63 al. 1 OJ ), ni par l'argumentation juridique retenue par la cour cantonale ( art. 63 al. 3 OJ ; ATF 128 III 22 consid. 2e/cc in fine; 127 III 248 consid. 2c; 126 III 59 consid. 2a).</w:t>
      </w:r>
    </w:p>
    <w:p>
      <w:r>
        <w:rPr>
          <w:b/>
        </w:rPr>
        <w:t>E. 2</w:t>
      </w:r>
    </w:p>
    <w:p>
      <w:r>
        <w:t>La recourante soutient que l'autorité cantonale a appliqué à tort le principe de la confiance pour interpréter la convention de mesures provisionnelles signée par les époux A.________, et singulièrement son chiffre VI. La solution adoptée par les juges cantonaux ne tiendrait de toute manière pas compte du fait que les parties à la convention précitée entendaient aplanir l'essentiel de leur querelle, à tout le moins à titre provisoire, en évitant que la recourante ne soit attaquée ultérieurement. A suivre la défenderesse, l'interprétation correcte de cet accord démontrerait que la demanderesse a admis que les salaires qui lui étaient dus étaient sortis du patrimoine de la recourante pour entrer dans celui du couple A.________, que ces salaires avaient été ainsi valablement versés par la société et que la question de leur remboursement à l'intimée à la suite du prélèvement opéré par A.________ sur le compte commun "Q" devait suivre le sort du procès au fond. La demanderesse aurait donné quittance à la défenderesse du versement desdits salaires, ce dont celle-ci pourrait se prévaloir. Si cette interprétation n'était pas retenue, la recourante prétend qu'elle pourrait invoquer que, "à travers le chiffre VI de la convention", l'intimée a déclaré en audience publique à l'administrateur A.________ qu'elle renonçait à ses prétentions de salaire à l'encontre de la défenderesse.</w:t>
      </w:r>
    </w:p>
    <w:p>
      <w:r>
        <w:rPr>
          <w:b/>
        </w:rPr>
        <w:t>E. 3.1</w:t>
      </w:r>
    </w:p>
    <w:p>
      <w:r>
        <w:t>Il n'est pas contesté que les parties ont été liées par un contrat de travail, que ce contrat a pris fin le 30 novembre 2000 et que la demanderesse avait droit jusqu'à cette date à son salaire mensuel net de 6237 fr.50, rémunération qu'elle n'a toutefois plus perçue pour les mois d'octobre et de novembre 2000. Mais la recourante prétend principalement que l'intimée, par la convention conclue en instance provisionnelle le 19 décembre 2000, lui a donné quittance pour le paiement des salaires de ces deux mois, subsidiairement qu'elle a renoncé à les percevoir. Le litige repose donc exclusivement sur l'interprétation de cet accord. Il convient de rappeler préliminairement les principes qui sont applicables en la matière.</w:t>
      </w:r>
    </w:p>
    <w:p>
      <w:r>
        <w:rPr>
          <w:b/>
        </w:rPr>
        <w:t>E. 3.2</w:t>
      </w:r>
    </w:p>
    <w:p>
      <w:r>
        <w:t>En présence d'un différend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127 III 444 consid. 1b). Il faut rappeler qu'un accord peut résulter non seulement de déclarations expresses concordantes, mais aussi d'actes concluants ( art. 1 al. 2 CO ). Déterminer ce qu'un cocontractant savait et voulait au moment de conclure relève des constatations de fait qui lient le Tribunal fédéral ( ATF 118 II 58 consid. 3a). Si la cour cantonale parvient à se convaincre d'une commune et réelle intention des parties, il s'agit d'une constatation de fait qui ne peut être remise en cause dans un recours en réforme ( ATF 126 III 25 consid. 3c, 375 consid. 2e/aa; 125 III 305 consid. 2b, 435 consid. 2a/aa).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(cf. ATF 127 III 444 consid. 1b; 126 III 59 consid. 5b, 375 consid. 2e/aa p. 380). Il doit être rappelé que le principe de la confiance permet d'imputer à une partie le sens objectif de sa déclaration ou de son comportement, même si celui-ci ne correspond pas à sa volonté intime ( ATF 127 III 279 consid. 2c/ee p. 287 et les références doctrinales). L'application du principe de la confiance est une question de droit que le Tribunal fédéral, saisi d'un recours en réforme, peut examiner librement ( ATF 127 III 248 consid. 3a; 126 III 25 consid. 3c, 59 consid. 5a, 375 consid. 2e/aa p. 379). Pour trancher cette question de droit, il faut cependant se fonder sur le contenu de la manifestation de volonté et sur les circonstances, lesquelles relèvent du fait ( ATF 126 III 375 consid. 2e/aa; 124 III 363 consid. 5a; 123 III 165 consid. 3a).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127 III 444 consid. 1b).</w:t>
      </w:r>
    </w:p>
    <w:p>
      <w:r>
        <w:rPr>
          <w:b/>
        </w:rPr>
        <w:t>E. 3.3</w:t>
      </w:r>
    </w:p>
    <w:p>
      <w:r>
        <w:t>La cour cantonale a constaté expressément, au considérant 4 a/ac in initio de l'arrêt déféré, que la volonté réelle des signataires de la convention passée le 19 décembre 2000 était divergente. Au vu de ce qui précède, c'est donc à bon droit qu'elle a eu recours au principe de la confiance pour interpréter la portée des déclarations qui constituent le chiffre VI de cet accord.</w:t>
      </w:r>
    </w:p>
    <w:p>
      <w:r>
        <w:rPr>
          <w:b/>
        </w:rPr>
        <w:t>E. 3.4</w:t>
      </w:r>
    </w:p>
    <w:p>
      <w:r>
        <w:t>Quoi qu'en pense la recourante, la demanderesse, en signant la convention de mesures provisionnelles susmentionnée, n'a pas attesté que la défenderesse s'était acquittée de son obligation de lui payer les salaires des mois d'octobre et novembre 2000. Il est uniquement stipulé, au chiffre VI de la convention litigieuse, que les questions afférentes aux salaires dus par la recourante à l'intimée pour les deux mois en cause seront "traitées" dans le procès au fond. Selon le sens général des mots, il faut raisonnablement comprendre que l'examen des conséquences économiques entraînées par le versement de ces prestations salariales à la demanderesse pendant la période considérée est reporté, le cas échéant, au procès sur le fond pendant entre les époux A.________, et singulièrement à la liquidation du régime matrimonial des conjoints. De toute manière, il est impossible de suivre la recourante lorsqu'elle allègue que, par les virements opérés sur le compte commun "Q", les salaires dus sont sortis du patrimoine de la défenderesse pour entrer dans celui du couple A.________. En effet, lorsque le contrat de travail ne prévoit pas un lieu de paiement, qui est en principe le lieu d'exploitation, le salaire, comme dette d'argent de l'employeur, doit être payé au lieu de domicile du créancier, soit du travailleur, au moment du paiement ( art. 74 al. 2 ch. 1 CO ; Rehbinder, Commentaire bernois, n. 2 et n. 5 ad art. 323 CO ). Autrement dit, l'employeur doit apporter le salaire au domicile du travailleur ou le lui faire parvenir par un virement sur son compte salaire, bancaire ou postal (cf. Rehbinder, op. cit., n. 5 ad art. 323 CO ; Tercier, Les contrats spéciaux, 3e éd., n. 3145, p. 454). On ne saurait donc admettre que les deux versements opérés en octobre 2000 sur un compte commun du couple, dont les titulaires ne se servaient plus, aient pu libérer la défenderesse - dont A.________ est seul administrateur depuis le 12 octobre 2000 - de son obligation de payer à la demanderesse les salaires des mois en cause. Il est d'ailleurs significatif à cet égard que la recourante n'a jamais prétendu avoir payé les salaires précédents de l'intimée sur ce compte.</w:t>
      </w:r>
    </w:p>
    <w:p>
      <w:r>
        <w:rPr>
          <w:b/>
        </w:rPr>
        <w:t>E. 3.5</w:t>
      </w:r>
    </w:p>
    <w:p>
      <w:r>
        <w:t>L' art. 341 al. 1 CO , qui exclut une renonciation de la part du travailleur pendant un certain laps de temps aux créances résultant de normes impératives, ne vise pas l' art. 322 CO , relatif au salaire du travailleur, disposition qui n'est pas de droit impératif (arrêts du Tribunal fédéral 4C.182/2000 du 9 janvier 2001, consid. 5c, et 4C.474/1996 du 18 février 1997, consid. 1). Il n'importe, car on ne peut raisonnablement admettre, à considérer les termes utilisés dans le chiffre VI de l'accord susrappelé ainsi que la circonstance que l'intimée s'est plainte le 30 octobre 2000 d'avoir été laissée sans ressources, que cette dernière ait entendu abandonner son droit au salaire pour les mois d'octobre et novembre 2000. Cette thèse, purement gratuite, ne trouve aucune assise dans l'état de fait déterminant.</w:t>
      </w:r>
    </w:p>
    <w:p>
      <w:r>
        <w:rPr>
          <w:b/>
        </w:rPr>
        <w:t>E. 4</w:t>
      </w:r>
    </w:p>
    <w:p>
      <w:r>
        <w:t>Il suit de là que le recours doit être rejeté. La procédure fédérale est gratuite puisqu'elle a trait à un différend résultat du contrat de travail dont la valeur litigieuse déterminante, calculée au moment du dépôt de la demande ( ATF 115 II 30 consid. 5b p. 42), ne dépasse pas le plafond de 30 000 fr. fixé à l' art. 343 al. 2 CO . Cette disposition ne dispense cependant pas la partie qui succombe de verser à la partie adverse une indemnité à titre de dépens ( ATF 115 II 30 consid. 5c p.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