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4C.31/2005 vom 27. Mai 2005</w:t>
      </w:r>
    </w:p>
    <w:p>
      <w:r>
        <w:t>Bundesgericht, 2005-05-27, FR</w:t>
      </w:r>
    </w:p>
    <w:p>
      <w:r>
        <w:rPr>
          <w:b/>
        </w:rPr>
        <w:t xml:space="preserve">Quelle: </w:t>
      </w:r>
      <w:r>
        <w:t>https://mcp.opencaselaw.ch/entscheid/bger_4C.31_2005</w:t>
      </w:r>
    </w:p>
    <w:p>
      <w:r>
        <w:t>FR: TF 4C.31/2005 du 27 mai 2005</w:t>
      </w:r>
    </w:p>
    <w:p>
      <w:r>
        <w:t>IT: TF 4C.31/2005 del 27 maggio 2005</w:t>
      </w:r>
    </w:p>
    <w:p>
      <w:pPr>
        <w:pStyle w:val="Heading2"/>
      </w:pPr>
      <w:r>
        <w:t>Regeste</w:t>
      </w:r>
    </w:p>
    <w:p>
      <w:r>
        <w:t>contrat de travail; licenciement collectif; plan social | Droit des contrats</w:t>
      </w:r>
    </w:p>
    <w:p>
      <w:pPr>
        <w:pStyle w:val="Heading2"/>
      </w:pPr>
      <w:r>
        <w:t>Erwägungen</w:t>
      </w:r>
    </w:p>
    <w:p>
      <w:r>
        <w:rPr>
          <w:b/>
        </w:rPr>
        <w:t>E. 1.1</w:t>
      </w:r>
    </w:p>
    <w:p>
      <w:r>
        <w:t>Interjeté par le demandeur, qui a entièrement succombé dans ses conclusions en paiement, et dirigé contre un jugement final rendu en dernière instance cantonale par un tribunal supérieur ( art. 48 al. 1 OJ ), le recours porte sur une contestation civile dont la valeur litigieuse dépasse le seuil de 8'000 fr. ( art. 46 OJ ). Il a en outre été déposé en temps utile compte tenu des féries ( art. 34 al. 1 let . c et 54 al. 1 OJ) et dans les formes requises ( art. 55 OJ ). Il est certes surprenant que le mandataire du demandeur signe seulement les conclusions du recours, la motivation étant paraphée par le recourant personnellement. Cette caractéristique ne touchant toutefois pas la recevabilité du recours, il convient d'entrer en matière.</w:t>
      </w:r>
    </w:p>
    <w:p>
      <w:r>
        <w:rPr>
          <w:b/>
        </w:rPr>
        <w:t>E. 1.2</w:t>
      </w:r>
    </w:p>
    <w:p>
      <w:r>
        <w:t>Le Tribunal fédéral ne peut aller au-delà des conclusions des parties ( art. 63 al. 1 OJ ). Dès lors que, devant la Cour de céans, le recourant ne reprend pas ses conclusions portant sur le versement de la différence entre le salaire perçu et la rémunération minimale prévue sur le plan cantonal, cette question ne sera pas revue dans la présente procédure.</w:t>
      </w:r>
    </w:p>
    <w:p>
      <w:r>
        <w:rPr>
          <w:b/>
        </w:rPr>
        <w:t>E. 2.1</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rPr>
          <w:b/>
        </w:rPr>
        <w:t>E. 2.2</w:t>
      </w:r>
    </w:p>
    <w:p>
      <w:r>
        <w:t>Après avoir rappelé les exigences précitées, le demandeur dresse une liste de multiples faits ne ressortant pas de l'arrêt attaqué, dont il demande à la Cour de céans de tenir compte. Il invoque à cet égard des inadvertances manifestes au sens de l' art. 63 al. 2 OJ et se prévaut de l' art. 64 OJ qui, selon lui, permettrait au Tribunal fédéral de compléter lui-même l'état de fait retenu par les juges cantonaux. Une telle argumentation ne saurait être suivie. L'inadvertance manifeste, susceptible d'être rectifiée d'office par le Tribunal fédéral en application de l' art. 63 al. 2 OJ , suppose que l'autorité, par simple inattention, ait omis de prendre en considération tout ou partie d'une pièce déterminée, versée au dossier, l'ait mal lue ou mal comprise (cf. ATF 121 IV 104 consid 2b p. 106; 115 II 399 consid. 2a). Elle n'autorise en aucun cas la partie recourante à modifier à sa guise les faits retenus par l'autorité cantonale. Dès l'instant où une constatation de fait repose sur l'appréciation, même insoutenable, d'une preuve, d'un ensemble de preuves ou d'indices, une inadvertance est exclue (arrêt du Tribunal fédéral 4C.149/1995 du 5 décembre 1995, in SJ 1996 p. 353, consid. 3a). De plus, il va de soi que la rectification d'une inadvertance manifeste n'a d'intérêt que si elle porte sur un fait pertinent. Quant à l' art. 64 OJ , il ne permet au Tribunal fédéral de compléter lui-même l'état de fait que sur des points purement accessoires (al. 2). Tout au plus permet-il le renvoi à l'autorité cantonale, à condition que la partie démontre que le fait omis est pertinent, qu'il a été régulièrement allégué devant les juridictions cantonales et que l'allégation était assortie d'une offre de preuve en bonne et due forme ( ATF 119 II 353 consid. 5c/aa p. 357 et les arrêts cités). Le demandeur méconnaît ces principes, dès lors qu'il cherche, sous le couvert des art. 63 al. 2 et 64 OJ , soit à obtenir la modification de constatations de fait qui n'ont aucune pertinence ou qui n'ont à elles seules pas joué un rôle déterminant dans l'analyse juridique de la cour cantonale, soit à remettre en cause la façon dont les preuves ont été appréciées, ce qui n'est pas admissible dans un recours en réforme ( ATF 130 III 145 consid. 3.2 p. 160). La Cour de céans examinera donc les violations du droit fédéral invoquées uniquement à la lumière des faits pertinents ressortant de l'arrêt attaqué.</w:t>
      </w:r>
    </w:p>
    <w:p>
      <w:r>
        <w:rPr>
          <w:b/>
        </w:rPr>
        <w:t>E. 3</w:t>
      </w:r>
    </w:p>
    <w:p>
      <w:r>
        <w:t>Le demandeur conteste tout d'abord et de manière abstraite la façon dont la cour cantonale a interprété le protocole du 27 novembre 2000, lui reprochant d'avoir utilisé les règles applicables aux contrats, alors que, s'agissant d'un plan social, elle aurait dû interpréter ce texte comme s'il s'agissait d'une loi.</w:t>
      </w:r>
    </w:p>
    <w:p>
      <w:r>
        <w:rPr>
          <w:b/>
        </w:rPr>
        <w:t>E. 3.1</w:t>
      </w:r>
    </w:p>
    <w:p>
      <w:r>
        <w:t>En pratique, un plan social est le fruit d'une consultation entre partenaires sociaux, qui est généralement consigné dans un document écrit et qui a pour but d'accompagner, par des mesures sociales, des licenciements économiques ( ATF 130 V 18 consid. 2.3 et les références citées). Tel est précisément le cas du protocole d'accord du 27 novembre 2000, qui est le résultat de discussions entre les partenaires sociaux et l'hôtel en vue d'atténuer les conséquences du licenciement collectif des employés de B.________. Il s'agit donc bien d'un plan social.</w:t>
      </w:r>
    </w:p>
    <w:p>
      <w:r>
        <w:rPr>
          <w:b/>
        </w:rPr>
        <w:t>E. 3.2</w:t>
      </w:r>
    </w:p>
    <w:p>
      <w:r>
        <w:t>Le point de savoir si ce plan social devait être interprété selon la méthode applicable aux lois, tout en tenant compte au besoin de l'intention des parties contractantes (solution préconisée de manière générale in ATF 130 V 18 consid. 4.2), ou si, compte tenu de son objet et de ses destinataires limités, il était néanmoins possible de faire prévaloir sa nature contractuelle et de l'interpréter en vertu des règles applicables aux contrats (cf. arrêt du Tribunal fédéral 4C.168/2003 du 17 octobre 2003, in RtiD 2004 II n. 65c, p. 695, consid. 3.3 in fine) n'a pas besoin d'être tranché en l'espèce. En effet, cette question aurait un intérêt seulement si l'interprétation du protocole du 27 novembre 2000 à laquelle s'est livrée la cour cantonale faisait apparaître comme infondé le rejet des prétentions du demandeur. Or, comme nous le verrons dans l'examen des autres griefs du recours, le mode d'interprétation du plan social, qu'il ait reposé sur les règles propres aux textes de lois ou aux contrats, n'a aucune incidence sur le sort du litige.</w:t>
      </w:r>
    </w:p>
    <w:p>
      <w:r>
        <w:rPr>
          <w:b/>
        </w:rPr>
        <w:t>E. 4</w:t>
      </w:r>
    </w:p>
    <w:p>
      <w:r>
        <w:t>Le demandeur reproche à la cour cantonale de ne pas avoir admis qu'il remplissait l'exigence figurant dans le protocole et selon laquelle le réengagement des anciens employés supposait que ceux-ci aient occupé un emploi durant au moins huit mois pendant les travaux ou qu'ils n'aient pas agi de manière à rompre le lien de confiance au sens de l' art. 337 CO . Il importe peu de savoir si le demandeur remplit ou non cette condition, car il ressort de l'arrêt attaqué que celui-ci n'a pris aucune conclusion tendant à son réengagement, ni réclamé des dommages-intérêts pour refus injustifié de le réengager. Le grief n'a donc pas à être examiné, dès lors qu'il n'est pas de nature à modifier le dispositif de la décision entreprise.</w:t>
      </w:r>
    </w:p>
    <w:p>
      <w:r>
        <w:rPr>
          <w:b/>
        </w:rPr>
        <w:t>E. 5</w:t>
      </w:r>
    </w:p>
    <w:p>
      <w:r>
        <w:t>Le demandeur soutient ensuite que la cour cantonale a violé le droit fédéral en refusant d'admettre qu'il remplissait les conditions figurant dans l'accord du 27 novembre 2000 lui permettant d'exiger la compensation salariale prévue entre le salaire qu'il touchait auprès de la défenderesse avant les travaux et les prestations que lui a versées l'assurance-chômage du 1er janvier 2001 au 8 mars 2002.</w:t>
      </w:r>
    </w:p>
    <w:p>
      <w:r>
        <w:rPr>
          <w:b/>
        </w:rPr>
        <w:t>E. 5.1</w:t>
      </w:r>
    </w:p>
    <w:p>
      <w:r>
        <w:t>Selon l'art. 3 du plan social du 27 novembre 2000, l'employeur avait promis de verser aux personnes qu'il entendait réengager une indemnité correspondant à la différence entre le salaire qu'elles avaient au moment de leur licenciement et le salaire perçu auprès d'un autre employeur. Il était prévu que la même indemnité serait versée aux personnes qui avaient chômé et qui n'avaient pas retrouvé d'emploi au plus tard le 32ème jour suivant l'échéance du délai de congé, pour autant qu'elles n'aient pas refusé un travail convenable au sens de la loi sur l'assurance-chômage.</w:t>
      </w:r>
    </w:p>
    <w:p>
      <w:r>
        <w:rPr>
          <w:b/>
        </w:rPr>
        <w:t>E. 5.2</w:t>
      </w:r>
    </w:p>
    <w:p>
      <w:r>
        <w:t>Le demandeur ne remet pas en cause la portée même de l'art. 3 de cet accord, mais soutient que la cour cantonale aurait violé le droit fédéral en considérant qu'il avait refusé un travail convenable au sens de l' art. 30 al. 1 let . d LACI (RS 837.0), alors qu'il avait produit deux attestations, l'une du 3 juillet 2001, l'autre du 27 février 2002 de l'Office cantonal de l'emploi, selon lesquelles il n'avait fait l'objet d'aucune sanction au sens de l' art. 30 LACI . Une telle position ne saurait être suivie. Il ne ressort en aucun cas du texte du protocole d'accord, ce que le demandeur n'invoque du reste nullement, que le versement de l'indemnisation par la défenderesse aurait été subordonné à l'exigence que la personne qui avait été au chômage n'ait pas fait l'objet de sanction au sens de la LACI. Du reste, les situations visées à l' art. 30 LACI , qui permettent aux autorités de suspendre le droit à l'indemnité, ne concernent pas uniquement le refus d'accepter un travail convenable. Une sanction ne signifie donc pas forcément qu'il y ait eu violation de cette obligation. A l'inverse, l'absence de sanction ne constitue pas la preuve que l'assuré s'est forcément conformé à l'obligation d'accepter un travail convenable, puisque l'on peut envisager l'hypothèse où les autorités compétentes auraient ignoré le comportement de l'assuré, voire renoncé à le sanctionner. Par conséquent, ce n'est pas parce que le demandeur a fourni des attestations de l'Office cantonal de l'emploi démontrant qu'il n'avait pas été sanctionné que la cour cantonale devait admettre la réalisation de la condition figurant dans le plan social.</w:t>
      </w:r>
    </w:p>
    <w:p>
      <w:r>
        <w:rPr>
          <w:b/>
        </w:rPr>
        <w:t>E. 5.3</w:t>
      </w:r>
    </w:p>
    <w:p>
      <w:r>
        <w:t>Reste à examiner si c'est à juste titre que les juges ont estimé que le demandeur avait refusé un travail convenable au sens de la LACI, ce que celui-ci conteste également. Dans ce contexte, le demandeur invoque l' art. 156 CO , soutenant que ce serait la défenderesse qui, en lui laissant entendre qu'il pourrait être réengagé, l'aurait empêché de retrouver un emploi. L'obligation d'accepter un travail convenable découle de l' art. 16 LACI , complété par l' art. 16 OACI (RS 837.02). Selon l' art. 16 al. 1 LACI , l'assuré doit en règle générale accepter immédiatement tout travail en vue de diminuer le dommage. Enfreint cette obligation l'assuré qui, notamment, fait échouer, par son comportement, la conclusion du contrat portant sur un emploi qui lui a été assigné ( art. 16 al. 1 let . c OACI). L' art. 16 al. 2 LACI contient une liste de travaux réputés non convenables et qui sont soustraits de l'obligation d'être acceptés (cf. ATF 128 V 311 consid. 2a). En l'espèce, il ressort des constatations cantonales que les contacts qu'a eus le demandeur auprès d'autres hôtels en vue d'un nouvel emploi portaient sur des postes de réceptionniste de nuit, voire de "night auditor", soit sur des activités similaires à celles exercées auprès de la défenderesse. En outre, rien dans l'arrêt entrepris ne permet d'en conclure que ces emplois n'auraient pas été réputés convenables au sens de l' art. 16 al. 2 LACI . Lorsque le demandeur tend à démontrer l'inverse, il se fonde sur des faits ne ressortant pas de l'arrêt entrepris, de sorte que ses critiques ne sont pas recevables. La cour cantonale a constaté en fait, d'une manière qui lie le Tribunal fédéral en instance de réforme (cf. art. 63 al. 2 OJ ), que le demandeur, lorsqu'il allait se présenter, adoptait généralement un comportement le faisant apparaître comme peu motivé envers les employeurs potentiels et qu'il avait ainsi lui-même fait échouer les négociations. A nouveau, le demandeur critique l'arrêt attaqué sur ce point, perdant de vue que, s'agissant d'une constatation de fait, seule la voie du recours de droit public pour arbitraire lui permettait de contester les conclusions cantonales sur son comportement lors des entretiens d'embauche. Si l'on s'en tient à l'attitude du demandeur, telle que décrite dans l'arrêt entrepris, on ne peut faire grief à la cour cantonale d'avoir considéré que celui-ci avait refusé un travail convenable au sens de la LACI. Cette description exclut également l'application de l' art. 156 CO , dès lors qu'il n'apparaît pas que ce soit la perspective d'un futur réengagement auprès de la défenderesse qui ait fait échouer les négociations. En considérant que le demandeur n'avait pas rempli la condition figurant à l'art. 3 du protocole du 27 novembre 2000 et ne pouvait donc prétendre à l'indemnisation prévue par cette disposition, la cour cantonale n'a donc pas violé le droit fédéral.</w:t>
      </w:r>
    </w:p>
    <w:p>
      <w:r>
        <w:rPr>
          <w:b/>
        </w:rPr>
        <w:t>E. 6</w:t>
      </w:r>
    </w:p>
    <w:p>
      <w:r>
        <w:t>Enfin, le dernier grief du demandeur, dans lequel il soutient que le plan social du 27 novembre 2000 aurait eu pour effet de "suspendre" les rapports de travail des employés, confine à la témérité. En effet, le licenciement du demandeur est intervenu le 16 novembre 2000, dans le cadre d'un licenciement collectif au sens des art. 335d ss CO et n'a du reste pas été contesté. Conformément au délai prévu à l' art. 335g al. 4 CO , le contrat du demandeur a pris fin au 31 décembre 2000. Comme l'ont déjà indiqué les deux instances cantonales, on ne voit manifestement pas en quoi le plan social de novembre 2000, qui tend précisément à atténuer les conséquences du licenciement collectif, pourrait être compris comme suspendant le licenciement du demandeur et ce qu'il soit interprété comme une loi ou comme un contrat. Le fait que le plan social parle de "réintégration" plutôt que de "réengagement" du personnel à la fin des travaux de rénovation n'y change rien, ces deux termes ayant la même portée. Dans ces circonstances, le recours ne peut qu'être rejeté dans la mesure où il est recevable.</w:t>
      </w:r>
    </w:p>
    <w:p>
      <w:r>
        <w:rPr>
          <w:b/>
        </w:rPr>
        <w:t>E. 7</w:t>
      </w:r>
    </w:p>
    <w:p>
      <w:r>
        <w:t>La procédure fédérale n'est pas gratuite puisqu'elle a trait à un différend résultant du contrat de travail dont la valeur litigieuse déterminante, calculée au moment du dépôt de la demande ( ATF 115 II 30 consid. 5b), dépasse le plafond de 30'000 fr. fixé à l' art. 343 al. 2 CO . Compte tenu de l'issue de la cause, le demandeur supportera donc l'émolument de justice et versera des dépens à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