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4C.31/2002 vom 26. April 2002</w:t>
      </w:r>
    </w:p>
    <w:p>
      <w:r>
        <w:t>Bundesgericht, 2002-04-26, FR</w:t>
      </w:r>
    </w:p>
    <w:p>
      <w:r>
        <w:rPr>
          <w:b/>
        </w:rPr>
        <w:t xml:space="preserve">Quelle: </w:t>
      </w:r>
      <w:r>
        <w:t>https://mcp.opencaselaw.ch/entscheid/bger_4C.31_2002</w:t>
      </w:r>
    </w:p>
    <w:p>
      <w:r>
        <w:t>FR: TF 4C.31/2002 du 26 avril 2002</w:t>
      </w:r>
    </w:p>
    <w:p>
      <w:r>
        <w:t>IT: TF 4C.31/2002 del 26 aprile 2002</w:t>
      </w:r>
    </w:p>
    <w:p>
      <w:pPr>
        <w:pStyle w:val="Heading2"/>
      </w:pPr>
      <w:r>
        <w:t>Regeste</w:t>
      </w:r>
    </w:p>
    <w:p>
      <w:r>
        <w:t>Droit des contrats</w:t>
      </w:r>
    </w:p>
    <w:p>
      <w:pPr>
        <w:pStyle w:val="Heading2"/>
      </w:pPr>
      <w:r>
        <w:t>Erwägungen</w:t>
      </w:r>
    </w:p>
    <w:p>
      <w:r>
        <w:rPr>
          <w:b/>
        </w:rPr>
        <w:t>E. 1</w:t>
      </w:r>
    </w:p>
    <w:p>
      <w:r>
        <w:t>a) Interjeté par la partie dont la demande a été écartée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34 al. 1 let. c OJ) dans les formes requises ( art. 55 OJ ). Il convient de préciser que, selon l' art. 451a al. 1 CPC vaud. , le recours en réforme cantonal peut être formé contre un jugement de la Cour civile, entre autres hypothèses, lorsque, dans une contestation pécuniaire susceptible d'un recours en réforme au Tribunal fédéral, la Cour a appliqué concurremment le droit fédéral et le droit cantonal, comme c'est ici le cas. Dans une telle hypothèse, seul l'arrêt rendu par la Chambre des recours peut être attaqué devant le Tribunal fédéral par la voie du recours en réforme (arrêt 4C.427/1993 du 14 septembre 1994, consid. 2b). La demanderesse a donc eu raison de n'entreprendre, par son recours en réforme fédéral, que l'arrêt de la Chambre des recours, à l'exclusion du jugement de la Cour civile. b)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et les arrêts cités). Ces exceptions mises à part, il ne peut être présenté de griefs contre les constatations de fait; de même, la juridiction de réforme ne tiendra pas compte de faits ou de moyens de preuve nouveaux ( art. 55 al. 1 let . c OJ). Le recours en réforme ne permet pas de remettre en cause l'appréciation des preuves à laquelle l'autorité cantonale s'est livrée ( ATF 126 III 189 consid. 2a; 125 III 78 consid. 3a). c) Au demeurant, s'il ne saurait aller au-delà des conclusions des parties, le Tribunal fédéral n'est lié ni par les motifs qu'elles invoquent ( art. 63 al. 1 OJ ), ni par les considérants de la décision cantonale ( art. 63 al. 3 OJ ; ATF 127 III 248 consid. 2c; 126 III 59 consid. 2a).</w:t>
      </w:r>
    </w:p>
    <w:p>
      <w:r>
        <w:rPr>
          <w:b/>
        </w:rPr>
        <w:t>E. 2</w:t>
      </w:r>
    </w:p>
    <w:p>
      <w:r>
        <w:t>Rappelant le résultat de l'appréciation des témoignages, qu'elle n'entend pas critiquer dans le cadre du recours en réforme, la demanderesse reproche à la Chambre des recours d'avoir considéré que l'acte authentique, en principe valable, avait perdu toute valeur probante du moment que le notaire n'avait pas vérifié par lui-même que les parties avaient connaissance des conditions générales de la X.________. a) Dans une jurisprudence récente, sur laquelle il n'y a pas lieu de revenir, le Tribunal fédéral a posé les exigences minimales du droit fédéral en matière de forme authentique, s'agissant du cautionnement solidaire ( ATF 125 III 131 ). Le droit fédéral matériel détermine le contenu minimal que la forme authentique doit recouvrir pour que l'acte soit valable. La forme légale sera observée pour tous les points objectivement et subjectivement essentiels de la déclaration de la caution, les modalités de la forme authentique étant déterminées par le droit cantonal. Selon l'art. 1er al. 2 de la loi d'application, l'acte de cautionnement pour lequel la législation fédérale exige la forme authentique est délivré en brevet; il peut être dressé sur une formule imprimée et se référer aux clauses de celle-ci, soit comporter deux éléments, pour autant que la manière de procéder du notaire garantisse l'unité matérielle de l'acte, conformément à la loi d'application. En d'autres termes, il faut que l'incorporation ait lieu au moment de l'instrumentation du cautionnement par l'officier public. Concernant le rôle du notaire dans l'adoption des clauses essentielles par la caution, le droit fédéral n'impose pas la lecture des conditions préimprimées, mais requiert au moins que la lecture silencieuse de celles-ci se déroule en présence du notaire, qui ne doit pas s'enquérir auprès de la caution, après la lecture de chaque paragraphe de la formule préimprimée, si elle en a bien saisi le sens ( ATF 125 III 131 consid. 5d in fine). b) En l'espèce, sur la base des faits établis souverainement et sans arbitraire par la Cour civile, lesquels ont été entièrement repris par la Chambre des recours, force est de constater que la formule préimprimée de cautionnement solidaire n'a pas été lue par le notaire aux comparants et que ceux-ci ne l'ont pas lue en présence de l'officier public, tant pour l'acte du 19 août 1985 que pour celui du 17 mai 1989. Dans ces conditions, comme les exigences minimales posées par la jurisprudence fédérale pour le respect de la forme authentique n'ont pas été observées, la nullité pour vice de forme des deux actes de cautionnement de 1985 et 1989 doit être prononcée, sans qu'il soit nécessaire d'examiner plus avant les autres arguments de la recourante ni la motivation de l'arrêt attaqué fondée sur le non-respect des exigences cantonales en matière de forme authentique.</w:t>
      </w:r>
    </w:p>
    <w:p>
      <w:r>
        <w:rPr>
          <w:b/>
        </w:rPr>
        <w:t>E. 3</w:t>
      </w:r>
    </w:p>
    <w:p>
      <w:r>
        <w:t>Dès lors que la demanderesse déduit sa prétention de l'acte de cautionnement du 17 mai 1989, dont la nullité est avérée, sa conclusion en paiement doit être rejetée avec suite de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