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4C.318/2005 vom 12. Dezember 2005</w:t>
      </w:r>
    </w:p>
    <w:p>
      <w:r>
        <w:t>Bundesgericht, 2005-12-12, DE</w:t>
      </w:r>
    </w:p>
    <w:p>
      <w:r>
        <w:rPr>
          <w:b/>
        </w:rPr>
        <w:t xml:space="preserve">Quelle: </w:t>
      </w:r>
      <w:r>
        <w:t>https://mcp.opencaselaw.ch/entscheid/bger_4C.318_2005</w:t>
      </w:r>
    </w:p>
    <w:p>
      <w:r>
        <w:t>FR: TF 4C.318/2005 du 12 décembre 2005</w:t>
      </w:r>
    </w:p>
    <w:p>
      <w:r>
        <w:t>IT: TF 4C.318/2005 del 12 dicembre 2005</w:t>
      </w:r>
    </w:p>
    <w:p>
      <w:pPr>
        <w:pStyle w:val="Heading2"/>
      </w:pPr>
      <w:r>
        <w:t>Erwägungen</w:t>
      </w:r>
    </w:p>
    <w:p>
      <w:r>
        <w:rPr>
          <w:b/>
        </w:rPr>
        <w:t>E. 1</w:t>
      </w:r>
    </w:p>
    <w:p>
      <w:r>
        <w:t>Strittig ist zunächst, in welchem Zeitpunkt die Vereinbarung vom 4. Februar 1957 und die darin enthaltene Verpflichtung der Beklagten ausläuft, der Klägerin wegen Entzugs von Wasserkraft für den durch sie geführten Betrieb des Kraftwerks X.________ Ausgleichszahlungen zu leisten.</w:t>
      </w:r>
    </w:p>
    <w:p>
      <w:r>
        <w:t>Der Inhalt eines Vertrages ist durch Vertragsauslegung zu bestimmen. Ziel der Vertragsauslegung ist es, in erster Linie den übereinstimmenden wirklichen Willen der Parteien festzustellen (vgl. Art. 18 Abs. 1 OR ). Diese subjektive Vertragsauslegung beruht auf Beweiswürdigung, die vorbehältlich der Ausnahmen von Art. 63 Abs. 2 und Art. 64 OG der bundesgerichtlichen Überprüfung im Berufungsverfahren entzogen ist ( BGE 126 III 119 E. 2a, 375 E. 2e/aa S. 379 f.; 121 III 118 E. 4b/aa S. 123,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417 E. 3.2; 129 III 118 E. 2.5, 702 E.2.4; 127 III 248 E. 3a, je mit Hinweisen).</w:t>
      </w:r>
    </w:p>
    <w:p>
      <w:r>
        <w:t>Das Kantonsgericht kam zum Ergebnis, dass sich die Parteien in Art. 2 Abs. 3 der Vereinbarung vom 4. Februar 1957 auf den 6. Mai 2006 als jenen Zeitpunkt verständigt hätten, an dem das von ihnen eingegangene Dauerschuldverhältnis auslaufen würde. Damit hat es hinsichtlich des Vertragsinhalts einen übereinstimmenden tatsächlichen Parteiwillen festgestellt, an den das Bundesgericht im vorliegenden Verfahren, wie vorstehend dargelegt, grundsätzlich gebunden ist (vgl. dazu Erwägung 2 des Urteils zu der in gleicher Sache erhobenen staatsrechtlichen Beschwerde [4P.248/2005]).</w:t>
      </w:r>
    </w:p>
    <w:p>
      <w:r>
        <w:t>Die Beklagte führt in ihrer Berufungsschrift einleitend aus, für die Auslegung gelte das Vertrauensprinzip, und es sei der mutmassliche Parteiwille in objektivierter Auslegung zu ermitteln. Damit verkennt sie, dass die Vorinstanz hinsichtlich der strittigen Frage verbindlich einen tatsächlich übereinstimmenden Willen der Parteien festgestellt hat und sich demnach die Frage gar nicht stellt, wie der streitbetroffene Vertrag nach Vertrauensprinzip auszulegen wäre. Auf ihre nachfolgenden umfassenden Ausführungen, wie Art. 2 Abs. 3 des Vertrages zwischen der A.________ AG und den D.________-Werken vom 4. Februar 1957 von den Parteien im Zeitpunkt des Vertragsabschlusses verstanden werden durfte und musste, ist demnach nicht einzugehen. Das Gleiche gilt selbstredend für die von der Beklagten erhobenen Sachverhaltsrügen im Sinne von Art. 63 Abs. 2 OG , die auf diese Vorbringen zu beziehen sind, zumal die Beklagte nicht erkennt, dass die Vorinstanz einen tatsächlich übereinstimmenden Parteiwillen festgestellt hat, und sich entsprechend nicht gegen diese Feststellung wendet. Auf die Berufung ist insoweit nicht einzutreten.</w:t>
      </w:r>
    </w:p>
    <w:p>
      <w:r>
        <w:rPr>
          <w:b/>
        </w:rPr>
        <w:t>E. 2</w:t>
      </w:r>
    </w:p>
    <w:p>
      <w:r>
        <w:t>Die Beklagte macht sodann geltend, ein Verzugszins sei - in Abweichung vom angefochtenen Urteil - nur auf Fr. 45'926.10 ab dem 20. Juli 2001 und für die übrigen Teilforderungen gemäss Rechtsbegehren der Klägerin erst ab Klageeinleitung geschuldet. Eine Mahnung sei einzig am 20. Juli 2001 für den Teilbetrag von Fr. 45'926.10 erfolgt. Einzig mit diesem Betrag sei die Beklagte vor Klageeinleitung in Verzug geraten.</w:t>
      </w:r>
    </w:p>
    <w:p>
      <w:r>
        <w:t>Auch auf diese Vorbringen kann nicht eingetreten werden, da sie in den tatsächlichen Feststellungen der Vorinstanz keine Stütze finden, ohne dass dazu eine Ausnahme von der Sachverhaltsbindung nach Art. 63 Abs. 2 und Art. 64 OG angerufen wird (vgl. BGE 130 III 102 E.2.2; 127 III 248 E. 2c S. 252; 115 II 484 E. 2a S. 485 f., je mit Hinweisen). Die Vorinstanz hielt zu der Forderungshöhe und den Zinsen fest, die Parteien seien sich für den Fall, dass der Sachrichter den von der Beklagten bestrittenen Anspruch dem Grundsatz nach anerkennen sollte, wenigstens über die finanziellen Auswirkungen eines solchen Entscheides einig. Nachdem die Vorinstanz den Anspruch der Klägerin auf weitere Ausgleichszahlungen nach dem 6. Mai 2001 grundsätzlich bejahte, verpflichtete sie die Beklagte demzufolge, der Klägerin, wie verlangt, den Betrag von Fr. 1'733'223.35 zuzüglich Zins zu 5 % auf den im Rechtsbegehren angeführten Teilbeträgen, und zwar ab den dort jeweils genannten Zeitpunkten, zu bezahlen. Nach den verbindlichen Feststellungen im angefochtenen Urteil hat die Vorinstanz der Klägerin die anbegehrten Beträge und Zinsen somit zugesprochen, weil sie der Höhe nach unbestritten blieben. Die Gutheissung der Klage ergab sich insoweit aus der Verhandlungsmaxime (vgl. dazu BGE 113 Ia 433 E. 4b mit Hinweisen). Demnach musste die Vorinstanz die Berechtigung der Verzugszinsforderung aus bundesrechtlicher Sicht nicht prüfen. -Dass die Vorinstanz mit ihrem Vorgehen die Verhandlungsmaxime verletzt hätte, macht die Beklagte im vorliegenden Verfahren zu Recht nicht geltend, da es sich bei der Verhandlungsmaxime um einen kantonalrechtlichen Grundsatz handelt, dessen Verletzung mit Berufung nicht gerügt werden kann ( Art. 43 und Art. 55 Abs. 1 lit. c OG ; BGE 127 III 248 E. 1b S. 251; 127 IV 215 E. 2d S. 218; 106 II 201 E. 3b).</w:t>
      </w:r>
    </w:p>
    <w:p>
      <w:r>
        <w:rPr>
          <w:b/>
        </w:rPr>
        <w:t>E. 3</w:t>
      </w:r>
    </w:p>
    <w:p>
      <w:r>
        <w:t>Zusammenfassend kann auf die Berufung nicht eingetreten werden. Bei diesem Ausgang des Verfahrens ist die Gerichtsgebühr der Beklagten aufzuerlegen ( Art. 156 Abs. 1 OG ). Sie hat die Klägerin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