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4C.315/2004 vom 13. Dezember 2004</w:t>
      </w:r>
    </w:p>
    <w:p>
      <w:r>
        <w:t>Bundesgericht, 2004-12-13, FR</w:t>
      </w:r>
    </w:p>
    <w:p>
      <w:r>
        <w:rPr>
          <w:b/>
        </w:rPr>
        <w:t xml:space="preserve">Quelle: </w:t>
      </w:r>
      <w:r>
        <w:t>https://mcp.opencaselaw.ch/entscheid/bger_4C.315_2004</w:t>
      </w:r>
    </w:p>
    <w:p>
      <w:r>
        <w:t>FR: TF 4C.315/2004 du 13 décembre 2004</w:t>
      </w:r>
    </w:p>
    <w:p>
      <w:r>
        <w:t>IT: TF 4C.315/2004 del 13 dicembre 2004</w:t>
      </w:r>
    </w:p>
    <w:p>
      <w:pPr>
        <w:pStyle w:val="Heading2"/>
      </w:pPr>
      <w:r>
        <w:t>Regeste</w:t>
      </w:r>
    </w:p>
    <w:p>
      <w:r>
        <w:t>remboursement des frais du voyageur de commerce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atteint le seuil de 8'000 fr. ( art. 46 OJ ), le présent recours en réforme est en principe recevable, puisqu'il a été déposé en temps utile compte tenu des féries (art. 34 al. 1 let. b et 54 al. 1 OJ)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et les arrêts cités).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moyens de preuve nouveaux ( art. 55 al. 1 let . c OJ). Le recours en réforme n'est donc pas ouvert pour remettre en cause l'appréciation des preuves et les constatations de fait qui en découlent ( ATF 130 III 136 consid. 1.4; 129 III 618 consid. 3).</w:t>
      </w:r>
    </w:p>
    <w:p>
      <w:r>
        <w:rPr>
          <w:b/>
        </w:rPr>
        <w:t>E. 1.3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p. 29). Un recours peut donc être admis pour d'autres motifs que ceux invoqués par le recourant et il peut également être rejeté sur la base d'une autre argumentation juridique que celle retenue par l'autorité cantonale ( ATF 130 III 136 consid. 1.4; 127 III 248 consid. 2c p. 252 s.).</w:t>
      </w:r>
    </w:p>
    <w:p>
      <w:r>
        <w:rPr>
          <w:b/>
        </w:rPr>
        <w:t>E. 2.1</w:t>
      </w:r>
    </w:p>
    <w:p>
      <w:r>
        <w:t>Ainsi que la cour cantonale et les parties l'admettent à juste titre, la relation entre celles-ci relève du contrat d'engagement des voyageurs de commerce au sens des art. 347 ss CO . Comme les intéressées n'ont pas conclu de contrat écrit, la question du remboursement des frais visée à l' art. 347a al. 1 let . c CO est réglée par les dispositions légales et, au surplus, par les conditions habituelles de travail ( art. 347a al. 2 CO ), les règles générales du contrat individuel de travail s'appliquant à titre supplétif ( art. 355 CO ). En conséquence, la présente espèce doit être jugée à l'aune des art. 327a et 327b CO .</w:t>
      </w:r>
    </w:p>
    <w:p>
      <w:r>
        <w:rPr>
          <w:b/>
        </w:rPr>
        <w:t>E. 2.2</w:t>
      </w:r>
    </w:p>
    <w:p>
      <w:r>
        <w:t>L' 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(sur ce point, cf. Brunner/Bühler/Waeber/Bruchez, Commentaire du contrat de travail, 3e éd., Lausanne 2004, n. 1 ad art. 327a CO ; Wyler, Droit du travail, Berne 2002, p. 211). Le travailleur ne peut faire valoir à ce titre des dépenses d'agrément ou de formation professionnelle générale non expressément prises en charge par l'employeur (Tercier, Les contrats spéciaux, 3e éd., Zurich 2003, n. 3198 p. 462). Il appartient au travailleur d'apporter la preuve de la nécessité des dépenses, sans que l'employeur puisse à cet égard poser d'exigences excessives ( ATF 116 II 145 consid. 6b p. 150; 91 II 372 consid. 12 p. 385; plus récemment Tercier, op. cit., n. 3198 p. 462 s.; Staehelin/Vischer, Commentaire zurichois, n. 9 ad art. 327a CO ). L' art. 327b al. 1 CO prévoit que si, d'entente avec l'employeur, le travailleur utilise pour son travail son propre véhicule à moteur ou un véhicule à moteur mis à sa disposition par l'employeur, il a droit au remboursement des frais courants d'usage et d'entretien (soit notamment les dépenses concernant l'essence, l'huile, les services périodiques, les réparations, etc.; sur ce point cf. Brunner/Bühler/ Waeber/Bruchez, op. cit., n. 1 ad art. 327b CO ; Portmann, Individualarbeitsrecht, Zurich 2000, n. 745 ss p. 159 s.), dans la mesure où le véhicule sert à l'exécution du travail. Il en résulte que l'employeur ne répond des frais courants d'usage et d'entretien qu'en proportion de la part qui correspond à l'utilisation professionnelle du véhicule (Brunner/Bühler/ Waeber/Bruchez, op. cit., n. 1 ad art. 327b CO ; Tercier, op. cit., n. 3199 p. 463; Wyler, op. cit., p. 211), de sorte que si le travailleur est autorisé à utiliser le véhicule à titre privé, un partage des frais peut intervenir (Portmann, op. cit., n. 749 p. 160; Duc/Subilia, Commentaire du contrat individuel de travail, Lausanne 1998, n. 7 ad art. 327b CO ). Pour le surplus, le caractère relativement impératif des art. 327a al. 1 et 327b al. 1 CO implique qu'en l'absence de convention écrite contraire, les autres frais incombent entièrement à l'employeur, même lorsque le travailleur est autorisé à utiliser le véhicule à des fins privées (en ce sens, cf. Brühwiler, Kommentar zum Einzelarbeitsvertrag, Berne 1996, n. 5 ad art. 327b CO ; Staehelin/ Vischer, op. cit., n. 6 ad art. 327b CO ; ces auteurs relèvent que le véhicule de fonction est en effet un instrument de travail qui, sauf accord ou usage contraire, doit être fourni par l'employeur, conformément à l' art. 327 al. 1 CO ). Il en va notamment ainsi de l'amortissement - respectivement du leasing - du véhicule, de même que de la prime d'assurance contre la responsabilité civile, dès lors que le risque d'accident dans l'utilisation professionnelle du véhicule est à la charge de l'employeur, qu'il s'agisse d'un véhicule de service ou de celui du travailleur (en ce sens, cf. Aubert, Commentaire romand, n. 2 in fine ad art. 327b CO ; Wyler, op. cit., p. 211). Aux termes de l' art. 327a al. 3 CO ,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 ATF 124 III 305 consid. 3; plus récemment Brunner/Bühler/Waeber/Bruchez, op. cit., n. 7 ad art. 327a CO , qui la considèrent comme relativement impérative; Tercier, op. cit., n. 3200 p. 463, qui la qualifie d'impérative). Selon la jurisprudence, l' 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 ATF 124 III 305 consid. 5), principe qui vaut respectivement pour les frais prévus à l' art. 327b al. 1 CO .</w:t>
      </w:r>
    </w:p>
    <w:p>
      <w:r>
        <w:rPr>
          <w:b/>
        </w:rPr>
        <w:t>E. 3</w:t>
      </w:r>
    </w:p>
    <w:p>
      <w:r>
        <w:t>La défenderesse soutient que la prise en leasing de l'Audi A4, impliquant la mise de fonds initiale dont le remboursement lui est réclamé, ne constituerait pas une dépense nécessaire à l'exécution du travail, parce qu'elle disposait d'une voiture (Mercedes Classe A) disponible pour les déplacements professionnels de ses employés. Elle se prévaut par ailleurs du fait que le versement de la mise de fonds initiale n'aurait pas été effectué dans son intérêt, mais bien davantage dans celui de la demanderesse, qui envisageait d'acheter le véhicule à la société de leasing au moment où elle résilierait son contrat de travail. Ce faisant, elle se fonde toutefois sur des faits qui ne ressortent pas de la décision attaquée, d'une manière inadmissible au regard de l' art. 63 al. 2 OJ (cf. consid. 1.2). Cela étant, l'état de fait de l'arrêt entrepris fait apparaître que la défenderesse, après avoir refusé que la demanderesse utilise sa voiture personnelle à des fins professionnelles, a accepté de prendre une Audi A4 neuve en leasing, pour des mensualités de 865 fr. 10, montant tenant compte d'une mise de fonds initiale de 21'600 fr. réglée par la demanderesse de sa propre poche. La défenderesse a ainsi mis à disposition de la demanderesse une voiture de fonction pour son activité de déléguée commerciale. Il ressort par ailleurs des faits souverainement retenus par la cour cantonale que la voiture litigieuse était indispensable à la demanderesse pour l'exécution de ses tournées de représentation et que la défenderesse avait accepté le "paiement particulier" de 21'600 fr. fait par la demanderesse, alors qu'elle aurait pu imposer une autre solution, comme elle avait par exemple refusé l'utilisation du véhicule privé de celle-ci. En acceptant le contrat de leasing - dans les circonstances de faits établies par la cour cantonale, qui ne peuvent être revues par la voie du recours en réforme -, la défenderesse s'est trouvée placée dans une situation où la règle impérative de l' art. 327a al. 3 CO l'oblige à rembourser à la demanderesse sa participation au contrat de leasing du véhicule de fonction, à hauteur de la prétention élevée celle-ci, soit 18'400 fr. Dans ces conditions, il n'est pas nécessaire d'examiner plus avant le contenu et la portée de la convention du 2 juillet 2003 prévoyant de réduire jusqu'à 2'000 fr. le montant du remboursement dû, ni de s'interroger sur les mobiles de la demanderesse au moment de la conclusion du contrat de leasing entre la défenderesse et la société de leasing, en raison du caractère de dépense nécessaire de la mise à disposition de la voiture de fonction par le moyen du leasing en cause.</w:t>
      </w:r>
    </w:p>
    <w:p>
      <w:r>
        <w:rPr>
          <w:b/>
        </w:rPr>
        <w:t>E. 4</w:t>
      </w:r>
    </w:p>
    <w:p>
      <w:r>
        <w:t>Les mêmes raisons conduisent à l'admission de la demande pour ce qui est de la caution de 1'000 fr. versée à la signature du contrat de leasing, ainsi que pour la prime d'assurance responsabilité civile pour le deuxième semestre de l'année 2002. S'agissant de ce dernier poste, il convient de relever que la défenderesse, qui ne conteste pas le principe du remboursement, plaide vainement, dans une argumentation de type appellatoire fondée sur des faits qui ne ressortent pas de la décision entreprise, que la prime a été remboursée au travers de l'indemnité forfaitaire mensuelle de 900 fr. et que, si ce montant s'était avéré insuffisant pour couvrir la prime, la demanderesse aurait dû l'en informer.</w:t>
      </w:r>
    </w:p>
    <w:p>
      <w:r>
        <w:rPr>
          <w:b/>
        </w:rPr>
        <w:t>E. 5</w:t>
      </w:r>
    </w:p>
    <w:p>
      <w:r>
        <w:t>A l'instar des juges cantonaux, les parties reconnaissent que les frais d'essence se rapportant aux déplacements professionnels doivent être remboursés en application de l' art. 327b al. 1 CO . La défenderesse reproche cependant à la cour cantonale d'avoir calculé les frais d'essence sur la période du 1er juin 2002 au 30 juin 2003, alors qu'il est établi qu'elle avait pris en charge l'intégralité des frais d'essence du 1er janvier au 30 juin 2003. De plus, elle aurait également payé lesdits frais entre le 1er juin et le 31 décembre 2002, en ce qu'ils seraient inclus dans l'indemnité forfaitaire mensuelle de 900 fr. versée pour l'usage professionnel du véhicule.</w:t>
      </w:r>
    </w:p>
    <w:p>
      <w:r>
        <w:rPr>
          <w:b/>
        </w:rPr>
        <w:t>E. 5.1</w:t>
      </w:r>
    </w:p>
    <w:p>
      <w:r>
        <w:t>Le grief est fondé en ce qui concerne l'application de l' art. 327b al. 1 CO pour la période du 1er janvier au 30 juin 2003. En effet, la cour cantonale a constaté en fait, de façon à lier le Tribunal fédéral ( art. 63 al. 2 OJ ), que la défenderesse avait intégralement pris en charge les frais d'essence exposés pendant ce laps de temps. La demanderesse ne peut donc faire valoir aucune créance à cet égard, la demande devant être rejetée sur ce point.</w:t>
      </w:r>
    </w:p>
    <w:p>
      <w:r>
        <w:rPr>
          <w:b/>
        </w:rPr>
        <w:t>E. 5.2</w:t>
      </w:r>
    </w:p>
    <w:p>
      <w:r>
        <w:t>Pour la période du 1er juin au 31 décembre 2002, la défenderesse soutient vainement que la demanderesse percevait une indemnité forfaitaire de 900 fr. pour tous les frais en rapport avec l'usage professionnel de la voiture. Cette allégation n'est en effet pas conforme à l'état de fait déterminant, dont il découle que le montant de 900 fr. a été fixé par la défenderesse comme étant la limite supérieure d'une mensualité de leasing. Au demeurant, la différence entre ce montant et la somme de 865 fr. 10, soit 34 fr. 90, n'apparaît pas comme consacrée au paiement d'essence et ne représenterait que 26 litres par mois, soit une quantité insignifiante en rapport avec la réalité de l'emploi de la demanderesse. A cet égard, il apparaît que celle-ci travaillait à 80% du 1er juin au 31 août 2002, avant d'être employée à plein temps pour la période du 1er septembre au 31 décembre 2002. Il n'est ainsi pas possible d'établir une moyenne mensuelle pertinente à partir de la prétention au remboursement de 4'795 fr. 20 pour les treize mois revendiqués, alors qu'il faudrait déduire de cette somme les montants payés par la défenderesse en 2003. L'arrêt entrepris doit en conséquence être annulé sur ce point et la procédure renvoyée à la Chambre d'appel pour qu'elle statue sur le remboursement des frais d'essence du 1er juin au 31 décembre 2002, compte tenu des taux d'occupation différents avant et après le 31 août 2002, des rapports de visite produits par la défenderesse pour la période du 1er juin au 15 octobre 2002 et de la preuve de l'importance de la consommation d'essence à titre professionnel, qui incombe à la demanderesse. En conséquence, le recours doit être partiellement admis sur ce point.</w:t>
      </w:r>
    </w:p>
    <w:p>
      <w:r>
        <w:rPr>
          <w:b/>
        </w:rPr>
        <w:t>E. 6</w:t>
      </w:r>
    </w:p>
    <w:p>
      <w:r>
        <w:t>En dernier lieu, la défenderesse reproche à la cour cantonale de l'avoir condamnée à payer à la demanderesse la somme de 2'000 fr. à titre de frais de repas. Elle soutient d'une part que le lieu de travail de la demanderesse était principalement la région lausannoise, où elle est domiciliée, de sorte que les juges cantonaux auraient violé l' art. 327a al. 1 CO en considérant que les repas pris dans son cercle d'activité devaient lui être remboursés. Elle plaide d'autre part que la réclamation de ce remboursement après la résiliation des rapports de travail serait abusive au sens de l' art. 2 al. 2 CC et ne viserait qu'à la placer dans une situation désagréable.</w:t>
      </w:r>
    </w:p>
    <w:p>
      <w:r>
        <w:rPr>
          <w:b/>
        </w:rPr>
        <w:t>E. 6.1</w:t>
      </w:r>
    </w:p>
    <w:p>
      <w:r>
        <w:t>La question de l'abus de droit que soulève la défenderesse doit être examinée sous l'angle de l' art. 341 al. 1 CO . Selon cette disposition, le travailleur ne peut pas renoncer, pendant la durée du contrat et durant le mois qui suit la fin de celui-ci, aux créances résultant de dispositions impératives de la loi ou d'une convention collective. Se fondant sur une jurisprudence relativement ancienne, la défenderesse estime que la demanderesse aurait dû demander le remboursement de ses frais de repas beaucoup plus rapidement qu'elle ne l'a fait et en tout cas pas après la résiliation des rapports de travail. En effet, sous l'empire de l'ancien droit, soit de la loi fédérale sur les conditions d'engagement des voyageurs de commerce (ci-après: LEVC), en vigueur avant l'introduction de l' art. 347 CO , en 1971, les indemnités pour frais professionnels devaient être payées à la fin de chaque mois au plus tard. Les art. 13 al. 4 et 14 al. 1 LEVC avaient été adoptés pour assurer aux voyageurs de commerce un prompt remboursement de leurs frais de voyage, mais aussi pour provoquer une liquidation rapide d'éventuelles divergences sur le montant de ces dépenses et pour empêcher que des prétentions s'accumulent, difficilement justifiables après coup. Le voyageur qui se tairait assez longtemps avant de demander le remboursement de ses frais pourrait se voir opposer le caractère tardif de sa demande, éventuellement constitutive d'un abus manifeste de droit au sens de l' art. 2 al. 2 CC ( ATF 91 II 372 consid. 13 p. 386). A cette occasion, le Tribunal fédéral a entendu faire une application très stricte du principe de l' art. 2 al. 1 CC , dont la portée était relativement limitée dans le domaine de la loi sur les conditions d'engagement des voyageurs de commerce. L' ATF 91 II 372 constituait expressément un revirement de jurisprudence, visant à une plus grande rigueur dans les relations entre employeurs et employés. A cet égard, le Tribunal fédéral a relevé qu'il convenait "de modifier" dans ce sens la jurisprudence de l'époque, qui restreignait étroitement l'application de cette disposition dans le domaine de la LEVC ( ATF 91 II 372 consid. 13 p. 387). Depuis lors, l' art. 347 CO renvoie, pour la détermination des prétentions salariales et accessoires des voyageurs de commerce, aux normes générales du contrat de travail (cf. consid. 2.1). Par ailleurs, depuis 1965, la jurisprudence relative à l'existence d'un abus de droit dans les relations individuelles de travail a profondément évolué. Seules des circonstances tout à fait exceptionnelles permettent à l'employeur de s'en prévaloir. Selon une jurisprudence fermement établie, il serait contraire à l'esprit de la loi de priver le travailleur, par le biais de l' art. 2 al. 2 CC , de la protection que lui accorde l' art. 341 al. 1 CO . En particulier, le fait pour le travailleur de n'avoir soulevé ses prétentions qu'à l'expiration des rapports de travail ne peut constituer, à lui seul, un abus de droit manifeste faute de quoi les art. 341 al. 1 et 342 al. 2 CO seraient lettres mortes pour les travailleurs qu'ils sont censés protéger ( ATF 129 III 618 consid. 5.2 p. 622 et les arrêts cités).</w:t>
      </w:r>
    </w:p>
    <w:p>
      <w:r>
        <w:rPr>
          <w:b/>
        </w:rPr>
        <w:t>E. 6.2</w:t>
      </w:r>
    </w:p>
    <w:p>
      <w:r>
        <w:t>En l'espèce, les faits retenus dans l'arrêt attaqué n'autorisent pas d'en inférer l'existence de circonstances exceptionnelles, qui permettraient de conclure à l'existence d'un abus de droit de la part de la demanderesse. Comme la jurisprudence le rappelle, le fait de réclamer des indemnités de repas quelques semaines après la fin du contrat, pour une période remontant au plus à quinze mois en arrière, ne peut constituer à lui seul l'abus de droit manifeste invoqué par la défenderesse. Dans ces conditions, faute de critique quant aux montants retenus successivement par le Tribunal de prud'hommes et la Cour d'appel, qui ont arbitré les frais de repas aux 50% de la prétention de la demanderesse, soit à 2'000 fr., la solution adoptée par la cour cantonale peut être confirmée, puisqu'elle est conforme à l' art. 327a al. 1 CO , disposition relativement impérative en application de l' art. 362 al. 1 CO .</w:t>
      </w:r>
    </w:p>
    <w:p>
      <w:r>
        <w:rPr>
          <w:b/>
        </w:rPr>
        <w:t>E. 7</w:t>
      </w:r>
    </w:p>
    <w:p>
      <w:r>
        <w:t>Dès lors que la valeur litigieuse, établie selon la prétention à l'ouverture de l'action, ne dépasse pas 30'000 fr., la procédure est gratuite ( art. 343 al. 2 et 3 CO ; ATF 115 II 30 consid. 5b p. 41). Cela ne dispense pas d'allouer des dépens ( art. 159 al. 1 OJ ). La demanderesse obtient gain de cause sur quasiment l'ensemble de ses prétentions, la défenderesse trouvant cependant en grande partie satisfaction sur la question des frais d'essence. Il se justifie donc de compenser les dépens ( art. 156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