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4C.310/2004 vom 7. Dezember 2004</w:t>
      </w:r>
    </w:p>
    <w:p>
      <w:r>
        <w:t>Bundesgericht, 2004-12-07, DE</w:t>
      </w:r>
    </w:p>
    <w:p>
      <w:r>
        <w:rPr>
          <w:b/>
        </w:rPr>
        <w:t xml:space="preserve">Quelle: </w:t>
      </w:r>
      <w:r>
        <w:t>https://mcp.opencaselaw.ch/entscheid/bger_4C.310_2004</w:t>
      </w:r>
    </w:p>
    <w:p>
      <w:r>
        <w:t>FR: TF 4C.310/2004 du 7 décembre 2004</w:t>
      </w:r>
    </w:p>
    <w:p>
      <w:r>
        <w:t>IT: TF 4C.310/2004 del 7 dicembre 2004</w:t>
      </w:r>
    </w:p>
    <w:p>
      <w:pPr>
        <w:pStyle w:val="Heading2"/>
      </w:pPr>
      <w:r>
        <w:t>Regeste</w:t>
      </w:r>
    </w:p>
    <w:p>
      <w:r>
        <w:t>Arbeitsvertrag; Aufhebungsvereinbarung | Vertragsrecht</w:t>
      </w:r>
    </w:p>
    <w:p>
      <w:pPr>
        <w:pStyle w:val="Heading2"/>
      </w:pPr>
      <w:r>
        <w:t>Erwägungen</w:t>
      </w:r>
    </w:p>
    <w:p>
      <w:r>
        <w:rPr>
          <w:b/>
        </w:rPr>
        <w:t>E. 1.1</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fristgerechte Berufung ist daher grundsätzlich einzutreten.</w:t>
      </w:r>
    </w:p>
    <w:p>
      <w:r>
        <w:rPr>
          <w:b/>
        </w:rPr>
        <w:t>E. 1.2</w:t>
      </w:r>
    </w:p>
    <w:p>
      <w:r>
        <w:t>Im Berufungsverfahren ist das Bundesgericht an die tatsächlichen Feststellungen der letzten kantonalen 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 Art. 55 Abs. 1 lit c OG ). Für eine blosse Kritik an der Beweiswürdigung der Vorinstanz ist die Berufung nicht gegeben ( BGE 127 III 248 E. 2c; 115 II 484 E. 2a S. 486).</w:t>
      </w:r>
    </w:p>
    <w:p>
      <w:r>
        <w:rPr>
          <w:b/>
        </w:rPr>
        <w:t>E. 1.3</w:t>
      </w:r>
    </w:p>
    <w:p>
      <w:r>
        <w:t>Das Obergericht nahm an, die Klägerin habe nicht mit angeblich gegen sie oder ihren Ehemann gerichteten Beweisen betreffend die anonymen Schreiben getäuscht werden können, da für die Klägerin nach ihren eigenen Angaben völlig klar war, dass weder sie noch ihr Ehemann die anonymen Schreiben zu verantworten hatten. Damit ist das Obergericht in tatsächlicher Hinsicht davon ausgegangen, die Klägerin habe der Aussage der Beklagten, ein Gutachten würde ihr Umfeld belasten, keinen Glauben geschenkt. Abweichend von diesen Feststellungen gibt die Klägerin in ihrer Berufung dem Sinne nach an, sie habe den Aussagen der hochrangigen Vertreter der Beklagten geglaubt und sei deshalb irrtümlich davon ausgegangen, das Gutachten würde ihren Ehemann oder ihr "Umfeld" belasten. Da die Klägerin insoweit keine der genannten Ausnahmen von der Bindung des Bundesgerichts an die tatsächlichen Feststellungen der Vorinstanz geltend macht, übt sie mit diesen Angaben unzulässige Kritik an der Beweiswürdigung der Vorinstanz.</w:t>
      </w:r>
    </w:p>
    <w:p>
      <w:r>
        <w:rPr>
          <w:b/>
        </w:rPr>
        <w:t>E. 2.1</w:t>
      </w:r>
    </w:p>
    <w:p>
      <w:r>
        <w:t>Das Obergericht ging davon aus, die Klägerin könne sich bezüglich des Abschlusses der Aufhebungsvereinbarung nicht auf einen wesentlichen Irrtum berufen. Zur Begründung führte das Obergericht dem Sinne nach aus, ein Irrtum sei namentlich dann wesentlich, wenn er einen Sachverhalt betreffe, welcher vom Irrenden nach Treu und Glauben im Geschäftsverkehr als notwendige Grundlage des Vertrages betrachtet werde. Die Klägerin könne sich nicht darauf berufen, sie habe sich bezüglich der gegen sie gerichteten und von ihr bestrittenen Vorwürfe geirrt, weil sie auf eine Abklärung bzw. Überprüfung dieser Vorwürfe verzichtet habe. Dies gelte auch hinsichtlich des ihr damals nicht zur Einsichtnahme vorgelegten Gutachtens der Z.________ AG. Gerade die Frage, ob die Klägerin die fraglichen Schreiben zu vertreten habe und was allenfalls aus dem Gutachten abgeleitet werden könne, sei im Zeitpunkt des Abschlusses der Vereinbarung vom 20./21. Dezember 2000 umstritten gewesen und sei nicht weiter geklärt worden. Da über die fraglichen Tatsachen Ungewissheit bestanden habe, habe darüber nicht geirrt werden können. Damit könne die Vereinbarung vom 20./21. Dezember 2000 nicht wegen Irrtums über eine notwendige Grundlage des Vertrages gemäss Art. 24 Abs. 1 Ziff. 4 OR angefochten werden.</w:t>
      </w:r>
    </w:p>
    <w:p>
      <w:r>
        <w:rPr>
          <w:b/>
        </w:rPr>
        <w:t>E. 2.2</w:t>
      </w:r>
    </w:p>
    <w:p>
      <w:r>
        <w:t>Die Klägerin macht geltend, es sei unbestritten geblieben, dass ihr die Beklagte die verlangte Aushändigung des Gutachtens der Z.________ AG verweigert habe. Die Klägerin habe somit keineswegs auf die Überprüfung des Gutachtens verzichtet. Vielmehr sei durch die Vorenthaltung des Gutachtens eine Überprüfung verhindert worden. Zudem sei für die Klägerin immer klar gewesen, dass ihr bzw. ihrem "Umfeld" gegenüber der Vorwurf im Raume stand, für anonyme, ehrverletzende Schreiben und damit für die angebliche Vergiftung des Betriebsklimas verantwortlich zu sein. Gewissheit habe für die Klägerin auch darüber bestanden, dass die Beklagte ernsthaft strafrechtliche Konsequenzen und Publikmachung der Vorwürfe in den Raum stellte. Die Klägerin habe sich beim Abschluss der Aufhebungsvereinbarung damit in einem wesentlichen Irrtum befunden, indem sie auf Grund der Umstände habe annehmen müssen, dass zumindest ihr Umfeld und damit mittelbar auch sie selbst von diffamierenden Strafrechtsverfahren und öffentlichen Verlautbarungen betroffen würden.</w:t>
      </w:r>
    </w:p>
    <w:p>
      <w:r>
        <w:rPr>
          <w:b/>
        </w:rPr>
        <w:t>E. 2.3</w:t>
      </w:r>
    </w:p>
    <w:p>
      <w:r>
        <w:t>Da nach den für das Bundesgericht verbindlichen Feststellungen des Obergerichts die Klägerin nicht davon ausging, das umstrittene Gutachten könne sie oder ihren Ehemann belasten, konnte sie sich insoweit nicht irren. Damit ist insoweit die Frage nach einem freiwilligen Verzicht auf die Einsichtnahme ohne Bedeutung. Ein Irrtum kann auch bezüglich der Androhung einer strafrechtlichen Anzeige und der öffentlichen Verlautbarungen verneint werden, weil diese Androhungen tatsächlich erfolgten. Demnach hat das Obergericht kein Bundesrecht verletzt, wenn es annahm, es liege kein Grundlagenirrtum im Sinne von Art. 24 Abs. 1 Ziff. 4 OR vor.</w:t>
      </w:r>
    </w:p>
    <w:p>
      <w:r>
        <w:rPr>
          <w:b/>
        </w:rPr>
        <w:t>E. 3.1</w:t>
      </w:r>
    </w:p>
    <w:p>
      <w:r>
        <w:t>Die Klägerin machte vor Obergericht geltend, die Beklagte habe ihr widerrechtlich mit einer Strafanzeige und der öffentlichen Ausbreitung des Verdachts gedroht, dass die Klägerin die Quelle, Urheberin oder Veranlasserin der gegen die Beklagte bzw. deren Direktion gerichteten anonymen Schreiben sei. Die Aufhebungsvereinbarung sei daher gemäss Art. 29 f. OR wegen Furchterregung unverbindlich. Das Obergericht führte dem Sinne nach aus, es sei unbestritten, dass der Beklagten anonyme Schreiben zugestellt worden waren, mit denen das Verhalten der Direktion gegenüber dem Team "U-Musik" in ehrverletzender Weise gerügt wurde. Es habe damit der Beklagten zugestanden, diesbezüglich Abklärungen vorzunehmen. Sowohl eine Strafanzeige im Hinblick auf die Feststellung der Urheberschaft dieser Schreiben als auch eine Publikmachung habe daher nicht widerrechtlich sein können. Widerrechtlich wäre eine Drohung mit einer Strafanzeige und Publikmachung des Verdachts nur dann gewesen, wenn ein innerer Zusammenhang mit dem angestrebten Zweck der Abklärung der Vorwürfe gefehlt hätte. Die Beklagte habe jedoch klären wollen, woher die anonymen Schreiben und die gegen sie gerichteten Vorwürfe stammten, wobei sich der Verdacht gegen die Klägerin und ihr Umfeld gerichtet hätte. Die Aufhebungsvereinbarung vom 20./21. Dezember 2000, mit der sich die Parteien gegenseitig verpflichteten, von Vorwürfen und Verdächtigungen Abstand zu nehmen und solche weder intern noch extern zu verbreiten, wäre daher nur dann als unverbindlich anzusehen, wenn die Beklagte sich darin übermässige Vorteile im Sinne von Art. 30 Abs. 2 OR hätte einräumen lassen. Davon könne aber angesichts der Regelung in der fraglichen Vereinbarung nicht die Rede sein, da die Kündigungsfrist eingehalten worden sei und die Beklagte ebenso an ihrem bereits zuvor geäusserten Willen, das Arbeitsverhältnis durch Kündigung aufzuheben, hätte festhalten können. Die Beklagte habe daher mit dem Abschluss der Vereinbarung keine Ansprüche erhältlich gemacht, die ihr ansonsten nicht zugestanden hätten. Die Auflösungsvereinbarung vom 20./21. Dezember 2000 könne daher auch nicht unter dem Titel der widerrechtlichen Furchterregung im Sinne von Art. 29 f. OR als für die Klägerin unverbindlich bezeichnet werden.</w:t>
      </w:r>
    </w:p>
    <w:p>
      <w:r>
        <w:rPr>
          <w:b/>
        </w:rPr>
        <w:t>E. 3.2</w:t>
      </w:r>
    </w:p>
    <w:p>
      <w:r>
        <w:t>Die Klägerin macht zusammengefasst geltend, für die Anwendung von Art. 30 Abs. 2 OR bestehe kein Raum, da diese Bestimmung eine rechtmässige Drohung voraussetze. Im vorliegenden Fall sei aber die Drohung an sich unrechtmässig gewesen, da die Beklagte gewusst habe, dass mit dem angeführten Gutachten die gegenüber der Klägerin erhobenen Vorwürfe nicht bewiesen werden konnten. Die Drohung mit einer Strafanzeige sei auch deshalb widerrechtlich gewesen, weil ein innerer Zusammenhang mit dem Zweck einer solchen erkennbar sei. So habe die Beklagte vorbehaltlos und dezidiert erklärt, an der Urheberschaft bzw. Miturheberschaft der Klägerin bestehe kein Zweifel. Dies zeige, dass die Beklagte entgegen den Ausführungen des Obergerichts mit der angedrohten Strafanzeige nicht habe klären wollen, wer für die anonymen Schreiben verantwortlich war. Vielmehr habe die Beklagte nur das Ziel verfolgt, die Klägerin - aus unerfindlichen Gründen - loszuwerden. Wenn mit einer Strafanzeige gegen eine konkrete Person gedroht werde, welche bereits als Täterin hingestellt und vorverurteilt werde, so sei von einer unzulässigen, widerrechtlichen Drohung auszugehen. Dies erst recht, wenn sich die Brandmarkung auf vorgespielte Beweise stütze.</w:t>
      </w:r>
    </w:p>
    <w:p>
      <w:r>
        <w:rPr>
          <w:b/>
        </w:rPr>
        <w:t>E. 3.3</w:t>
      </w:r>
    </w:p>
    <w:p>
      <w:r>
        <w:t>Ist ein Vertragsschliessender von dem anderen oder einem Dritten widerrechtlich durch Erregung gegründeter Furcht zur Eingehung eines Vertrages bestimmt worden, so ist der Vertrag für den Bedrohten unverbindlich ( Art. 29 Abs. 1 OR ). Gemäss der französischen Fassung darf die Furchterregung nicht "sans droit" erfolgen. Demnach fallen Drohungen, welche ohne Recht bzw. Rechtsgrundlage erfolgen, unter Art. 29 Abs. 1 OR (vgl. Schmidlin, Berner Kommentar, N. 35 zu Art. 29/30 OR). Solche Drohungen können auch den Tatbestand der Nötigung gemäss Art. 181 StGB erfüllen, welcher voraussetzt, dass jemand durch Gewalt oder Androhung ernstlicher Nachteile oder durch andere Beschränkung seiner Handlungsfreiheit genötigt wird, etwas zu tun oder zu unterlassen. Nach der Rechtsprechung zu Art. 181 StGB ist es grundsätzlich erlaubt, jemandem eine Strafanzeige anzudrohen, wenn ein begründeter Verdacht besteht ( BGE 120 IV 17 E. 2a/bb). Dies hat auch im Rahmen von Art. 29 Abs. 1 OR zu gelten. Die Drohung mit einer an sich zulässigen Strafanzeige wird jedoch widerrechtlich, wenn zwischen dem Straftatbestand, der angezeigt werden soll, und der gestellten Forderung ein sachlicher Zusammenhang fehlt oder wenn versucht wird, mit der Drohung eine ungerechtfertigte Zuwendung zu erlangen ( BGE 120 IV 17 E. 2a/bb; 101 IV 47 E. 2b S. 49 mit Hinweisen). Kein Zusammenhang besteht zum Beispiel, wenn mit einer Anzeige wegen Steuerhinterziehung gedroht wird, um den Bedrohten zum Abschluss eines Kaufvertrags zu bewegen. Dagegen darf mit einer Strafanzeige für den Fall gedroht werden, dass der Schädiger den von ihm verursachten Schaden nicht ersetzt (vgl. BGE 125 III 353 E. 2 S. 355 mit Hinweisen). Entsprechend hat das Bundesgericht erkannt, dass ein Zahnarzt wohl seiner Büroangestellten eine Strafanzeige androhen durfte, um sie zur Anerkennung einer Forderung auf Rückerstattung angeblich veruntreuter Gelder zu bewegen, er jedoch zu weit ging, als er ihr darüber hinaus einen Betrag von Fr. 220.-- als "freiwilligen" Zuschlag abnötigte ( BGE 69 IV 168 E. 3). Alsdann hat das Bundesgericht angenommen, ein Käufer, dem ein Auto mit einem schwächeren Motor als angegeben verkauft wurde, hätte mit der Androhung, den Fall in der Fernsehsendung "Kassensturz" zur Sprache zu bringen, allenfalls seinem Anspruch auf Ersatz des Minderwerts Nachdruck verschaffen dürfen, nicht hingegen einer nicht liquiden Forderung von Fr. 500.-- für angebliche Auslagen für eine Expertise und andere Umtriebe ( BGE 106 IV 125 E. 3b). Diese Grundsätze haben auch bei der Berücksichtigung der Furchterregung hinsichtlich eines Willensmangels zu gelten. So wird gemäss Art. 30 Abs. 2 OR die Furcht vor der Geltendmachung eines Rechtes nur dann berücksichtigt, wenn die Notlage des Bedrohten benutzt worden ist, um ihm die Einräumung übermässiger Vorteile abzunötigen.</w:t>
      </w:r>
    </w:p>
    <w:p>
      <w:r>
        <w:rPr>
          <w:b/>
        </w:rPr>
        <w:t>E. 3.4</w:t>
      </w:r>
    </w:p>
    <w:p>
      <w:r>
        <w:t>Im vorliegenden Fall hat die Beklagte die Klägerin bzw. ihren Ehemann verdächtigt, für anonyme ehrverletzende Schreiben verantwortlich zu sein. Entgegen der Annahme der Klägerin kann daraus, dass das angeführte Gutachten nicht beweistauglich war, nicht abgeleitet werden, es habe kein begründeter Verdacht vorgelegen, zumal die Klägerin selbst angibt, sie habe sich mit Bezug auf ihren Ehemann oder ihr "Umfeld" nicht sicher sein können. Unter diesen Umständen war die Androhung mit einer Strafanzeige grundsätzlich zulässig. Die Beklagte durfte die Klägerin jedoch mit der Androhung nicht zum Abschluss eines Vertrages bestimmen, welcher mit der vermuteten Straftat bzw. mit dem Anliegen, eine solche künftig zu verhindern, keinen Zusammenhang hat. Vorliegend ist indessen ein innerer Zusammenhang gegeben. Die Aufhebungsvereinbarung bezweckte zum einen die Beendigung des Arbeitsverhältnisses, welche deshalb einen Zusammenhang mit der Strafanzeige hatte, weil die Beklagte die Weiterführung des Arbeitsverhältnisses aufgrund des geltend gemachten Verdachts als unzumutbar erachtete. Zum anderen beinhaltete die Aufhebungsvereinbarung die gegenseitige Verpflichtung, von Vorwürfen Abstand zu nehmen, welche ebenfalls auf den genannten Verdacht zurückzuführen ist. Demnach ist entgegen der Annahme der Klägerin ein genügender Zusammenhang zwischen der Androhung der Strafanzeige und dem danach abgeschlossenen Vertrag zu bejahen. Dabei ist unerheblich, ob die Beklagte mit der Strafanzeige die Abklärung der Urheberschaft der anonymen Schreiben oder die Verhinderung weiterer solcher Schreiben erreichen wollte. Dass die Klägerin der Beklagten in der Aufhebungsvereinbarung übermässige Vorteile zugestanden hatte, ist mit dem Obergericht zu verneinen. Demnach hat dieses bundesrechtskonform angenommen, die Klägerin könne sich nicht auf Furchterregung im Sinne von Art. 29 f. OR berufen.</w:t>
      </w:r>
    </w:p>
    <w:p>
      <w:r>
        <w:rPr>
          <w:b/>
        </w:rPr>
        <w:t>E. 4.1</w:t>
      </w:r>
    </w:p>
    <w:p>
      <w:r>
        <w:t>Schliesslich ging das Obergericht davon aus, die Aufhebungsvereinbarung könne nicht wegen absichtlicher Täuschung als für die Klägerin unverbindlich erklärt werden. Zur Begründung führte es dem Sinne nach aus, zwar habe die Beklagte gegenüber der Klägerin den falschen Anschein erwecken wollen, sie verfüge über ein Gutachten, das Hinweise dafür enthalte, dass die Klägerin oder ihr Umfeld für die anonymen und verunglimpfenden Schreiben verantwortlich sei. Ebenso habe die Beklagte gehofft, dieser Anschein würde die Klägerin dazu bewegen, eine Aufhebungsvereinbarung zu unterzeichnen. Die Vorspiegelung könne jedoch nur dann relevant sein, wenn der erweckte Anschein für den Vertragsabschluss kausal war. Dies sei zu verneinen, wenn die betroffene Partei der Vorspiegelung keinen Glauben schenke, weil sie den wahren Sachverhalt kennt. Davon sei vorliegend auszugehen, da die Klägerin nach ihrer Darstellung stets sicher war, dass ihr weder unmittelbar noch mittelbar über ihren Ehemann etwas angelastet werden könne. Die Klägerin habe auch gewusst, dass es sie belastende Beweise nicht habe geben können. Eine Täuschung sei daher nicht möglich gewesen, da aus der Sicht der Klägerin entsprechende Beweise als Möglichkeit nicht im Raum gestanden hätten.</w:t>
      </w:r>
    </w:p>
    <w:p>
      <w:r>
        <w:rPr>
          <w:b/>
        </w:rPr>
        <w:t>E. 4.2</w:t>
      </w:r>
    </w:p>
    <w:p>
      <w:r>
        <w:t>Die Klägerin übt in diesem Zusammenhang unzulässige Kritik an der vorinstanzlichen Beweiswürdigung, indem sie behauptet, sie sei tatsächlich getäuscht worden (vgl. E. 1.3 hiervor). Ansonsten legt die Klägerin nicht dar, inwiefern das Obergericht bei der Verneinung der Täuschung Bundesrecht verletzt haben soll, was auch nicht erkennbar ist.</w:t>
      </w:r>
    </w:p>
    <w:p>
      <w:r>
        <w:rPr>
          <w:b/>
        </w:rPr>
        <w:t>E. 5</w:t>
      </w:r>
    </w:p>
    <w:p>
      <w:r>
        <w:t>Das Obergericht führte an, selbst wenn ein erheblicher Willensmangel bejaht würde, könnte die Klage nicht gutgeheissen werden, weil bei Unwirksamkeit der Aufhebungsvereinbarung die Kündigung vom 17. November 2000 ihre Wirkung entfalten würde. Dieser Eventualbegründung kommt neben der bundesrechtskonformen Hauptbegründung keine selbständige Bedeutung zu, weshalb auf die gegen die Eventualbegründung gerichtete Kritik der Klägerin mangels Rechtsschutzinteresses nicht einzutreten ist.</w:t>
      </w:r>
    </w:p>
    <w:p>
      <w:r>
        <w:rPr>
          <w:b/>
        </w:rPr>
        <w:t>E. 6</w:t>
      </w:r>
    </w:p>
    <w:p>
      <w:r>
        <w:t>Nach dem Gesagten ist die Berufung abzuweisen, soweit darauf einzutreten ist. Bei diesem Ausgang des Verfahrens wird der Kläger für das bundesgerichtliche Verfahren kosten- und entschädigungspflichtig (Art. 156 Abs. 1 und 159 Abs. 2 OG).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