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4C.30/2007 vom 16. April 2007</w:t>
      </w:r>
    </w:p>
    <w:p>
      <w:r>
        <w:t>Bundesgericht, 2007-04-16, DE</w:t>
      </w:r>
    </w:p>
    <w:p>
      <w:r>
        <w:rPr>
          <w:b/>
        </w:rPr>
        <w:t xml:space="preserve">Quelle: </w:t>
      </w:r>
      <w:r>
        <w:t>https://mcp.opencaselaw.ch/entscheid/bger_4C.30_2007</w:t>
      </w:r>
    </w:p>
    <w:p>
      <w:r>
        <w:t>FR: TF 4C.30/2007 du 16 avril 2007</w:t>
      </w:r>
    </w:p>
    <w:p>
      <w:r>
        <w:t>IT: TF 4C.30/2007 del 16 aprile 2007</w:t>
      </w:r>
    </w:p>
    <w:p>
      <w:pPr>
        <w:pStyle w:val="Heading2"/>
      </w:pPr>
      <w:r>
        <w:t>Regeste</w:t>
      </w:r>
    </w:p>
    <w:p>
      <w:r>
        <w:t>Auftrag / einfache Gesellschaft | Obligationenrecht (allgemein)</w:t>
      </w:r>
    </w:p>
    <w:p>
      <w:pPr>
        <w:pStyle w:val="Heading2"/>
      </w:pPr>
      <w:r>
        <w:t>Erwägungen</w:t>
      </w:r>
    </w:p>
    <w:p>
      <w:r>
        <w:rPr>
          <w:b/>
        </w:rPr>
        <w:t>E. 1</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2</w:t>
      </w:r>
    </w:p>
    <w:p>
      <w:r>
        <w:t>Der Beklagte hat fristgerecht Berufung gegen das Urteil des Obergerichts vom 1. Dezember 2006 eingereicht (vgl. Art. 54 Abs. 1 OG in Verbindung Art. 34 Abs. 1 lit. c OG ). Insofern kann offen bleiben, ob die Vorinstanz in ihrer Verfügung vom 4. Dezember 2006 zu Recht festgehalten hat, die Frist für die Erhebung der Berufung an das Bundesgericht beginne mit Zustellung dieser Verfügung zu laufen.</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kommen ( Art. 63 Abs. 2 OG ) oder im Hinblick auf den Tatbestand einer anwendbaren Sachnorm ergänzungsbedürftig sind (vgl. Art. 64 OG ). Werden solche Ausnahmen geltend gemacht, so hat die Partei, welche den Sachverhalt berichtigt oder ergänzt wissen will, darüber genaue Angaben mit Aktenhinweisen zu machen ( Art. 55 Abs. 1 lit. c und d OG ; BGE 130 III 102 E. 2.2 mit Hinweisen). Blosse Kritik an der vorinstanzlichen Beweiswürdigung ist im Berufungsverfahren unzulässig ( BGE 127 III 73 E. 6a; 126 III 10 E. 2b; 120 II 97 E. 2b; 119 II 84 E. 3).</w:t>
      </w:r>
    </w:p>
    <w:p>
      <w:r>
        <w:rPr>
          <w:b/>
        </w:rPr>
        <w:t>E. 3.1</w:t>
      </w:r>
    </w:p>
    <w:p>
      <w:r>
        <w:t>Die Vorinstanz hat festgestellt, die Hauptinteressen der Parteien in Bezug auf die Veranstaltung seien verschieden gewesen: Das Interesse des Beklagten war auf deren gesamte Durchführung bzw. auf 50 % des verwirklichten Ertrags (Art. 8 Organisationsvertrag), dasjenige der Klägerin dagegen auf das versprochene Entgelt von mindestens Fr. 1'500.-- gerichtet. In Bezug auf die Frage, ob die Parteien mit gemeinsamen Kräften und Mitteln das gleiche Ziel verfolgten, hat die Vorinstanz festgestellt, dass die Einnahmen aus dem Vertrag nicht in ein gemeinsames Vermögen geflossen wären, sondern dem Beklagten zukommen sollten, der daraus den Vergütungsanspruch der Klägerin zu decken hatte. Der Beklagte hätte auch für einen allfälligen Verlust der Veranstaltung allein mit E.________ aufkommen müssen (Art. 8 Organisationsvertrag). Die mündlichen Abmachungen zwischen den Parteien konnte die Vorinstanz nicht mehr genau ermitteln. Nach den vorinstanzlichen Erwägungen spielte die Klägerin bei der Durchführung des Anlasses indes eine eher untergeordnete Rolle und die meisten Entscheidungen traf der Beklagte. Mit der Rüge, die Vorinstanz habe bei der Frage der (Haupt-)Interessen der Parteien nicht gewürdigt, dass die Klägerin an der Veranstaltung selbständig und auf eigene Rechnung Getränke verkaufen durfte, ergänzt oder kritisiert der Beklagte die Sachverhaltsfeststellung im angefochtenen Entscheid, ohne eine zulässige Rüge zu erheben ( Art. 64 OG ), abgesehen davon, dass er die entsprechende Aktenstelle nicht angibt ( Art. 55 Abs. 1 lit. c und d OG ).</w:t>
      </w:r>
    </w:p>
    <w:p>
      <w:r>
        <w:rPr>
          <w:b/>
        </w:rPr>
        <w:t>E. 3.2</w:t>
      </w:r>
    </w:p>
    <w:p>
      <w:r>
        <w:t>Der Beklagte rügt, die Vorinstanz habe der Klägerin zu Unrecht attestiert, diese habe bei der Durchführung des Anlasses eine untergeordnete Rolle gespielt. Er ist der Ansicht, die Klägerin habe bei der Vorbereitung der Veranstaltung und in Absprache mit ihm für deren Durchführung wesentliche Tätigkeiten verrichtet. Soweit der Beklagte sinngemäss kritisiert, dass er die meisten Entscheidungen getroffen habe, wendet er sich lediglich gegen die entsprechende Feststellung der Vorinstanz und erhebt insofern keine zulässige Rüge im Sinne von Art. 63 Abs. 2 OG . Die tatsächlichen Feststellungen der Vorinstanz bilden die verbindliche Entscheidgrundlage im Berufungsverfahren.</w:t>
      </w:r>
    </w:p>
    <w:p>
      <w:r>
        <w:rPr>
          <w:b/>
        </w:rPr>
        <w:t>E. 3.3</w:t>
      </w:r>
    </w:p>
    <w:p>
      <w:r>
        <w:t>Beweislastverteilung und Beweisanforderungen im Sinne des Beweismasses werden durch Art. 8 ZGB , d.h. durch das Bundesrecht geregelt, dessen Verletzung mit Berufung geltend gemacht werden kann ( Art. 43 OG ; BGE 130 III 321 E. 5). Ein Beweis gilt als erbracht, wenn das Gericht nach objektiven Gesichtspunkten von der Richtigkeit einer Sachbehauptung überzeugt ist. Ausnahmen von diesem Regelbeweismass, in denen eine überwiegende Wahrscheinlichkeit als ausreichend betrachtet wird, ergeben sich aus dem Gesetz selbst bzw. sind durch Rechtsprechung und Lehre herausgearbeitet worden (vgl. BGE 130 III 321 E. 3.2; 128 III 271 E. 2b/aa). Wenn der Beklagte die Qualifikation der Verhältnisse der Parteien als Auftrag mit der Folge des Verwendungsersatzes rügt, wendet er sich allerdings gegen den rechtlichen Schluss der Vorinstanz. Diese hat bei den Feststellungen über das tatsächliche Verhalten der Klägerin und die Umstände entgegen den Ausführungen des Beklagten nicht das Beweismass der überwiegenden Wahrscheinlichkeit, sondern das Regelbeweismass der richterlichen Überzeugung zugrunde gelegt. Sie hat nicht nur festgestellt, dass die mündlichen Abmachungen zwischen den Parteien zwar nicht mehr genau ermittelt werden könnten; sie hat auch festgehalten, dass aus den Ausführungen der Parteien in ihren Schriften, d.h. aufgrund der gesamten Umstände, die Vereinbarung eines gemeinsamen Zwecks mit gemeinsamen Mitteln nicht festzustellen sei. Die Vorbringen des Beklagten verfangen daher insoweit nicht.</w:t>
      </w:r>
    </w:p>
    <w:p>
      <w:r>
        <w:rPr>
          <w:b/>
        </w:rPr>
        <w:t>E. 4</w:t>
      </w:r>
    </w:p>
    <w:p>
      <w:r>
        <w:t>Der Beklagte stellt nicht in Frage, dass zwischen den Parteien insofern ein Vertrag gültig zustande gekommen ist, als die Klägerin für den Anlass verschiedene Arbeits- und Dienstleistungen erbringen musste und der Beklagte im Fall der Erwirtschaftung eines Gewinns eine fixe Abgeltung schuldet. Streitig ist jedoch die Frage, ob dieses Vertragsverhältnis als Auftrag oder, wie der Beklagte geltend macht, als einfache Gesellschaft zu qualifizieren ist.</w:t>
      </w:r>
    </w:p>
    <w:p>
      <w:r>
        <w:rPr>
          <w:b/>
        </w:rPr>
        <w:t>E. 4.1</w:t>
      </w:r>
    </w:p>
    <w:p>
      <w:r>
        <w:t>Die einfache Gesellschaft ist die vertragsmässige Verbindung von zwei oder mehreren Personen zur Erreichung eines gemeinsamen Zwecks mit gemeinsamen Kräften oder Mitteln ( Art. 530 OR ). Schliessen sich nur zwei Personen zusammen oder werden die Rechte und Pflichten der Beteiligten ungleich geregelt, so nähert sich die einfache Gesellschaft dem zweiseitigen Vertrag. Bei der Gesellschaft werden durch den Zusammenschluss jedoch gemeinsame Interessen gefördert; jeder Gesellschafter hat durch seine Leistungen, deren Inhalt sehr verschieden sein kann und nicht zum Vornherein bestimmt sein muss, etwas zum gemeinsamen Zweck beizutragen; Dienstleistungen erfolgen dabei im Interesse aller. Die synallagmatischen oder zweiseitigen Verträge, zu denen auch die Auftragsverhältnisse gehören, sind hingegen durch den Interessengegensatz zwischen den Vertragsparteien sowie durch die Bestimmtheit ihres Gegenstandes charakterisiert; durch den Austausch von Gütern oder Dienstleistungen werden entgegengesetzte Interessen befriedigt. Auftrag und einfache Gesellschaft voneinander abzugrenzen, kann namentlich dann schwierig sein, wenn sowohl der Auftraggeber wie der Beauftragte an der Ausführung des Auftrags interessiert sind. Diesfalls ist nach der Lehre, welcher sich das Bundesgericht angeschlossen hat, ein Auftrag anzunehmen, wenn ihr Interesse am Geschäft nicht gleicher Art ist. Dass beim Auftrag ein Gewinnanteil ausbedungen wird, macht das Vertragsverhältnis zwar zu einem gesellschaftsähnlichen, aber nicht zu einer einfachen Gesellschaft (vgl. zum Ganzen BGE 104 II 108 E. 2).</w:t>
      </w:r>
    </w:p>
    <w:p>
      <w:r>
        <w:rPr>
          <w:b/>
        </w:rPr>
        <w:t>E. 4.2.1</w:t>
      </w:r>
    </w:p>
    <w:p>
      <w:r>
        <w:t>Im vorliegenden Fall waren beide Parteien unbestrittenermassen daran interessiert, dass die Veranstaltung stattfindet und einen Gewinn erzielt. Zwar hatte auch die Klägerin insofern ein Interesse an der Durchführung des Anlasses, als sie sonst nicht die Möglichkeit gehabt hätte, gegebenenfalls mit mindestens Fr. 1'500.-- entschädigt zu werden. Deswegen lässt sich das Vertragsverhältnis entgegen der Auffassung des Beklagten aber noch nicht als einfache Gesellschaft ausgeben, denn eine gewisse Interessengemeinschaft besteht auch bei zweiseitigen Verträgen. Nach den verbindlichen Feststellungen der Vorinstanz war das Interesse des Beklagten auf die gesamte Durchführung der Veranstaltung bzw. auf 50 % des verwirklichten Ertrags gerichtet, wie sich aus Art. 8 des Organisationsvertrags ergibt; die Klägerin dagegen war am versprochenen Entgelt interessiert. Dass die Parteien mit gemeinsamen Kräften und Mitteln das gleiche Ziel verfolgten, liesse sich nur sagen, wenn sie ihre Rechte und Pflichten aus dem Organisationsvertrag als gemeinsame Aufgabe betrachtet hätten (vgl. BGE 104 II 108 E. 2). Dies traf aber nach den vorinstanzlichen Feststellungen nicht zu. Die Einnahmen aus dem Organisationsvertrag wären nicht in ein gemeinsames Vermögen geflossen, sondern sollten dem Beklagten zukommen, der daraus den Vergütungsanspruch der Klägerin zu decken hatte; der Beklagte hätte auch für einen allfälligen Verlust allein mit dem Vertragspartner aufkommen müssen, wie ebenfalls aus Art. 8 des Organisationsvertrags folgt. Gemäss Art. 533 Abs. 3 OR ist die Verabredung zwar zulässig, dass ein Gesellschafter, der zum gemeinsamen Zweck Arbeit beizutragen hat, Anteile am Gewinn, nicht aber am Verlust haben soll; nach dem bisher Gesagten ist jedoch eher von einem zweiseitigen Vertragsverhältnis der Parteien auszugehen. Der Vertrag zwischen dem Beklagten und der Klägerin war somit nicht auf die Erreichung eines gemeinsamen Zwecks mit gemeinsamen Mitteln gerichtet.</w:t>
      </w:r>
    </w:p>
    <w:p>
      <w:r>
        <w:rPr>
          <w:b/>
        </w:rPr>
        <w:t>E. 4.2.2</w:t>
      </w:r>
    </w:p>
    <w:p>
      <w:r>
        <w:t>Zwar hat die Klägerin Arbeits- und Dienstleistungen erbracht, die allenfalls Beiträge im Sinne von Art. 530 f. OR sein könnten. Nach den Feststellungen im angefochtenen Entscheid hat sie im Namen des ortsansässigen, kroatischen Basketball-Vereins und des Sportvereins D.________ als Veranstalter den Mietvertrag für den Saal abgeschlossen; dabei handelte sie in Absprache mit dem Beklagten; in der Folge erbrachte sie weitere organisatorische und finanzielle Leistungen, wie z.B. Einkäufe. Gemäss den verbindlichen Feststellungen der Vorinstanz spielte die Klägerin bei der Durchführung des Anlasses aber eine eher untergeordnete Rolle und der Beklagte traf die meisten Entscheidungen. Die Vorinstanz hat zutreffend erkannt, dass sich eine solche ungleiche Stellung der Vertragspartner nicht mit dem Grundgedanken von Art. 530 OR verträgt; dies erlaubt daher nicht, den Vertrag zwischen den Parteien dem Gesellschaftsrecht zu unterstellen.</w:t>
      </w:r>
    </w:p>
    <w:p>
      <w:r>
        <w:rPr>
          <w:b/>
        </w:rPr>
        <w:t>E. 4.2.3</w:t>
      </w:r>
    </w:p>
    <w:p>
      <w:r>
        <w:t>Daran ändert im Übrigen auch der Einwand des Beklagten nichts, neben dem Organisationsvertrag habe noch eine (weitere) einfache Gesellschaft zwischen ihm und der Klägerin sowie anderen Personen bestanden, die mit der Organisation der Veranstaltung in der Schweiz betraut war; gerade und ausschliesslich zu diesem gemeinsamen Zweck hätten sich diese Personen in der Schweiz zusammengefunden. Zwar ist es denkbar, dass eine einfache Gesellschaft - weitere - Untergesellschaften bildet; vorliegend steht aber fest, dass sich die Klägerin und der Beklagte nicht dergestalt rechtlich binden wollten. Vielmehr hat die Vorinstanz verbindlich festgestellt, dass die Hauptinteressen der Parteien betreffend die Veranstaltung verschieden waren.</w:t>
      </w:r>
    </w:p>
    <w:p>
      <w:r>
        <w:rPr>
          <w:b/>
        </w:rPr>
        <w:t>E. 5</w:t>
      </w:r>
    </w:p>
    <w:p>
      <w:r>
        <w:t>Fällt der Vertrag zwischen den Parteien nicht unter das Recht der einfachen Gesellschaft, so ist nicht zu beanstanden, dass die Vorinstanz ihn gemäss Art. 394 ff. OR als Auftrag qualifiziert hat. Die Arbeitsleistung, zu der sich der Beauftragte nach Art. 394 OR verpflichtet, kann unterschiedlicher Art sein; sie muss aber in jedem Fall die Geschäfte des Auftraggebers betreffen, im Gegensatz zum Gesellschaftsvertrag die Wahrung fremder Interessen zum Ziel haben ( BGE 122 III 361 E. 3b; vgl. auch oben, E. 4.1). Eine Vergütung ist zu leisten, wenn sie verabredet oder üblich ist ( Art. 394 Abs. 3 OR ). Nach Art. 402 Abs. 1 OR ist der Auftraggeber schuldig, dem Beauftragten die Auslagen und Verwendungen, die dieser in richtiger Ausführung des Auftrags gemacht hat, samt Zinsen zu ersetzen und ihn von den eingegangenen Verbindlichkeiten zu befreien. Die Vorinstanz hat das Auftragsverhältnis von Seiten der Klägerin als genügend substanziiert betrachtet und die Verhältnisse der Parteien zutreffend dem Auftragsrecht unterstellt. Nicht bestritten sind sowohl die Höhe des Auslagen- und Verwendungsersatzes sowie deren Verzinsung ( Art. 402 Abs. 1 OR ) als auch die Vergütungsansprüche der Klägerin ( Art. 394 Abs. 3 OR ).</w:t>
      </w:r>
    </w:p>
    <w:p>
      <w:r>
        <w:rPr>
          <w:b/>
        </w:rPr>
        <w:t>E. 6</w:t>
      </w:r>
    </w:p>
    <w:p>
      <w:r>
        <w:t>Die weiteren Anträge gemäss Ziffer 2 und 3 betreffend Kosten und Entschädigungen für die kantonalen Verfahren begründet der Beklagte nicht, weshalb darauf nicht weiter einzugehen ist ( Art. 55 Abs. 1 lit. c OG ). Da sich die Kostenregelung auf kantonales Recht stützt, wäre im Übrigen eine Rüge in Bezug auf deren Höhe ohnehin unzulässig.</w:t>
      </w:r>
    </w:p>
    <w:p>
      <w:r>
        <w:rPr>
          <w:b/>
        </w:rPr>
        <w:t>E. 7</w:t>
      </w:r>
    </w:p>
    <w:p>
      <w:r>
        <w:t>Die Berufung ist als unbegründet abzuweisen, soweit darauf einzutreten ist. Die Gerichtsgebühr ist angesichts des Ausgangs des Verfahrens dem Beklagten aufzuerlegen ( Art. 153, 153a und 156 Abs. 1 OG ). Er hat der Klägerin deren Parteikosten zu ersetzen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