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4C.30/2003 vom 23. April 2003</w:t>
      </w:r>
    </w:p>
    <w:p>
      <w:r>
        <w:t>Bundesgericht, 2003-04-23, FR</w:t>
      </w:r>
    </w:p>
    <w:p>
      <w:r>
        <w:rPr>
          <w:b/>
        </w:rPr>
        <w:t xml:space="preserve">Quelle: </w:t>
      </w:r>
      <w:r>
        <w:t>https://mcp.opencaselaw.ch/entscheid/bger_4C.30_2003</w:t>
      </w:r>
    </w:p>
    <w:p>
      <w:r>
        <w:t>FR: TF 4C.30/2003 du 23 avril 2003</w:t>
      </w:r>
    </w:p>
    <w:p>
      <w:r>
        <w:t>IT: TF 4C.30/2003 del 23 aprile 2003</w:t>
      </w:r>
    </w:p>
    <w:p>
      <w:pPr>
        <w:pStyle w:val="Heading2"/>
      </w:pPr>
      <w:r>
        <w:t>Regeste</w:t>
      </w:r>
    </w:p>
    <w:p>
      <w:r>
        <w:t>Droit des contrats</w:t>
      </w:r>
    </w:p>
    <w:p>
      <w:pPr>
        <w:pStyle w:val="Heading2"/>
      </w:pPr>
      <w:r>
        <w:t>Erwägungen</w:t>
      </w:r>
    </w:p>
    <w:p>
      <w:r>
        <w:rPr>
          <w:b/>
        </w:rPr>
        <w:t>E. 1.1</w:t>
      </w:r>
    </w:p>
    <w:p>
      <w:r>
        <w:t>Interjeté par la partie demanderesse, qui a totalement succombé dans ses conclusions condamnatoires, et dirigé contre un jugement final rendu en dernière instance cantonale par un tribunal supérieur ( art. 48 al. 1 OJ ) sur une contestation civile dont la valeur litigieuse dépasse largement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L'acte de recours doit contenir les motifs à l'appui des conclusions; ils doivent indiquer succinctement quelles sont les règles de droit fédéral transgressées par la décision attaquée et en quoi consiste cette violation ( art. 55 al. 1 let . c OJ). Si la motivation du recours permet de comprendre en quoi l'auteur de celui-ci considère la décision attaquée comme contraire au droit fédéral, la référence expresse à des articles de loi ou des principes juridiques n'est pas nécessaire; des critiques générales sans rapport avec un considérant dûment cité ne suffisent toutefois pas ( ATF 116 II 745 consid. 3). L'absence de motivation suffisante est une cause d'irrecevabilité du recours (Fabienne Hohl, Procédure civile, tome II, n. 3245, p. 300).</w:t>
      </w:r>
    </w:p>
    <w:p>
      <w:r>
        <w:rPr>
          <w:b/>
        </w:rPr>
        <w:t>E. 1.3</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127 III 543 consid. 2c; 126 III 189 consid. 2a). II n'est pas possible de présenter des griefs contre les constatations de fait, pas plus que des faits ou des moyens de preuve nouveaux ( art. 55 al. 1 let . c OJ). Le Tribunal fédéral ne saurait aller au-delà des conclusions des parties, mais il n'est pas lié par les motifs qu'elles invoquent ( art. 63 al. 1 OJ ), ni par l'argumentation juridique retenue par la cour cantonale ( art. 63 al. 3 OJ ; ATF 128 III 22 consid. 2e/cc in fine).</w:t>
      </w:r>
    </w:p>
    <w:p>
      <w:r>
        <w:rPr>
          <w:b/>
        </w:rPr>
        <w:t>E. 2</w:t>
      </w:r>
    </w:p>
    <w:p>
      <w:r>
        <w:t>La recourante reproche à la Cour civile de ne pas avoir suivi l'avis des experts commis en instance cantonale. Selon ceux-ci, les principes généralement admis en matière comptable auraient voulu que le produit de la vente du certificat d'actions de la SI Z.________ SA soit versé à Y.________ SA. En acceptant que ce montant soit au contraire versé à l'intimé, Y.________ SA, à dire d'experts, lui aurait consenti une distribution déguisée de bénéfices. La recourante ne précise pas quelle règle de droit fédéral serait violée et son exposé confus ne permet pas de déterminer quelle norme matérielle pourrait entrer en ligne de compte à cet égard. Ce premier grief est donc irrecevable pour défaut de motivation ( art. 55 al. 1 let . c OJ).</w:t>
      </w:r>
    </w:p>
    <w:p>
      <w:r>
        <w:rPr>
          <w:b/>
        </w:rPr>
        <w:t>E. 3</w:t>
      </w:r>
    </w:p>
    <w:p>
      <w:r>
        <w:t>La recourante reproche à l'autorité cantonale de ne pas avoir appliqué l' art. 312 CO . Mais cette critique générale ne permet pas de distinguer si le grief vise en réalité une interprétation erronée de la convention litigieuse ( art. 18 CO ) ou une mauvaise application des dispositions fédérales en matière de preuve, telles que l' art. 8 CC . Le grief est ainsi irrecevable, ce d'autant qu'il aurait été aisé pour la recourante, représentée par un avocat, de développer avec un minimum de soin ses motifs de recours. De toute manière, s'agissant d'une éventuelle violation de l' art. 18 CO , le Tribunal fédéral est lié par les constatations que l'autorité cantonale a opérées au sujet de la réelle et commune intention des cocontractants ( ATF 126 III 25 consid. 3c, 375 consid. 2e/aa; 125 III 305 consid. 2b). Or, les premiers juges ont en l'espèce souverainement retenu que B.________ s'était engagé à verser 925'000 fr. à l'intimé pour acquérir un night-club et que les intéressés avaient mis au point dans ce but le transfert de toutes les actions de Y.________ SA et du certificat d'actions de la SI Z.________ SA. L'autorité intimée a également constaté de manière à lier le Tribunal fédéral que les parties n'avaient jamais eu l'intention de conclure un contrat de prêt de consommation. Au surplus, les parties ont exécuté le contrat conformément à leurs engagements et la recourante a attendu plus de sept ans pour faire valoir de prétendues prétentions en remboursement d'un prêt. On peut encore ajouter, si besoin était, que le Tribunal fédéral a déjà eu l'occasion de trancher, dans le sens de la vente, la question de la qualification juridique du contrat en question (arrêt 4C.53/2002 du 4 juin 2002, consid. 5). Sur la base de ces données, la critique de la recourante, même si elle avait respecté les impératifs de motivation du recours en réforme, serait dénuée de tout fondement.</w:t>
      </w:r>
    </w:p>
    <w:p>
      <w:r>
        <w:rPr>
          <w:b/>
        </w:rPr>
        <w:t>E. 4</w:t>
      </w:r>
    </w:p>
    <w:p>
      <w:r>
        <w:t>La recourante fait enfin grief aux juges cantonaux d'avoir admis que, dans l'opération de vente litigieuse, l'intimé et Y.________ SA constituaient une seule entité sous l'angle économique. A suivre la recourante, B.________ aurait dû verser 875'000 fr. à Y.________ SA pour le certificat d'actions No 12 de la SI Z.________ SA et 50'000 fr. à l'intimé pour les actions de Y.________ SA. II en serait ensuite résulté une obligation de remboursement en faveur de la demanderesse à la charge du défendeur, laquelle serait fondée sur un contrat de prêt. Derechef, le moyen n'est mis en relation avec aucune disposition de droit fédéral et on distingue mal quel principe juridique serait visé. En tout état de cause, il ressort de la volonté réelle des parties - constatée souverainement par les premiers juges - qu'elles avaient en vue l'acquisition du night-club sis dans l'immeuble Z.________ pour le prix de 925'000 fr. et que dans ce but, elles ont mis au point le contrat litigieux. Appréciant les preuves, la cour cantonale a de surcroît retenu que l'intimé, actionnaire unique de Y.________ SA, demeurait le réel vendeur et l'unique bénéficiaire du prix stipulé, comme cela ressort d'ailleurs du libellé de l'art. 4 du contrat. Toute autre construction juridique, qui reviendrait à ce que B.________ ait acquis cet établissement pour le prix dérisoire de 50'000 fr., se trouve en totale contradiction avec l'état de fait déterminant. Pour autant qu'elle soit recevable, la critique serait de toute manière mal fondée.</w:t>
      </w:r>
    </w:p>
    <w:p>
      <w:r>
        <w:rPr>
          <w:b/>
        </w:rPr>
        <w:t>E. 5</w:t>
      </w:r>
    </w:p>
    <w:p>
      <w:r>
        <w:t>En définitive, le recours doit être rejeté dans la très faible mesure de sa recevabilité.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