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4C.307/2001 vom 14. März 2002</w:t>
      </w:r>
    </w:p>
    <w:p>
      <w:r>
        <w:t>Bundesgericht, 2002-03-14, DE</w:t>
      </w:r>
    </w:p>
    <w:p>
      <w:r>
        <w:rPr>
          <w:b/>
        </w:rPr>
        <w:t xml:space="preserve">Quelle: </w:t>
      </w:r>
      <w:r>
        <w:t>https://mcp.opencaselaw.ch/entscheid/bger_4C.307_2001</w:t>
      </w:r>
    </w:p>
    <w:p>
      <w:r>
        <w:t>FR: TF 4C.307/2001 du 14 mars 2002</w:t>
      </w:r>
    </w:p>
    <w:p>
      <w:r>
        <w:t>IT: TF 4C.307/2001 del 14 marzo 2002</w:t>
      </w:r>
    </w:p>
    <w:p>
      <w:pPr>
        <w:pStyle w:val="Heading2"/>
      </w:pPr>
      <w:r>
        <w:t>Erwägungen</w:t>
      </w:r>
    </w:p>
    <w:p>
      <w:r>
        <w:rPr>
          <w:b/>
        </w:rPr>
        <w:t>E. 1</w:t>
      </w:r>
    </w:p>
    <w:p>
      <w:r>
        <w:t>Der Rechtsstreit dreht sich um die Frage, ob zwischen den Klägern und der Beklagten Arbeitsverträge zustande gekommen sind. Das Obergericht verneinte dies unter anderem mit der Begründung, es sei weder ein übereinstimmender Wille der Parteien zum Abschluss von Arbeitsverträgen nachgewiesen noch seien Arbeitsverträge durch Entgegennahme der Arbeit seitens der Beklagten bzw. durch Arbeitsleistung in ihren Diensten zustande gekommen. Die Kläger sehen darin eine falsche Anwendung der bundesrechtlichen Bestimmungen von Art. 320 Abs. 2 und 3 OR über das Zustandekommen von Arbeitsverträgen.</w:t>
      </w:r>
    </w:p>
    <w:p>
      <w:r>
        <w:t>Sie machen damit eine Verletzung von Bundesrecht geltend, wozu die Berufung offen steht ( Art. 43 Abs. 1 OG ).</w:t>
      </w:r>
    </w:p>
    <w:p>
      <w:r>
        <w:rPr>
          <w:b/>
        </w:rPr>
        <w:t>E. 2</w:t>
      </w:r>
    </w:p>
    <w:p>
      <w:r>
        <w:t>Aufl. , Zürich 1999, S. 206). Auch das faktische Organ kann die Gesellschaft nach aussen vertreten. Die Gesellschaft muss sich die Handlungen eines faktischen Organs in gleicher Weise anrechnen lassen, wie jene eines ordentlich gewählten. Die Vertretungsmacht ergibt sich aus dem Umstand, dass die entsprechenden Personen in gleicher Weise wie ein gewähltes Organ an der Meinungsbildung der juristischen Person beteiligt sind und nach aussen auftreten. In analoger Anwendung der Bestimmungen über die Anscheinsvollmacht ergibt sich aus dem Vertrauensprinzip, dass Dritte eine Organstellung auch annehmen dürfen, wenn die juristische Person jemanden gewähren lässt, der sich als Organ aufspielt. Ausschlaggebend ist, dass die juristische Person selber das Handeln des Dritten gewähren lässt oder dass das nicht gewählte Organ von den gewählten in die Entscheidbildung massgeblich eingebunden wird (Forstmoser/Meier-Hayoz/Nobel, a.a.O., S. 175 Fn. 14, S. 176, S. 349; vgl. auch BGE 120 II 197 E. 2a und b/bb sowie BGE 124 III 418 E. 1c).</w:t>
      </w:r>
    </w:p>
    <w:p>
      <w:r>
        <w:t>Vom faktischen Organ und dem Anscheinsorgan zu unterscheiden sind jene Personen, die sich ohne Wissen der Gesellschaft bzw. ihrer gewählten Organe bloss eine Organstellung anmassen. Diese können die juristische Person nach dem Gesagten ebenso wenig verpflichten, wie der falsus procurator den Prinzipal (vgl. Art. 38 OR ). Es genügt nicht, dass sich jemand als Organ einer juristischen Person ausgibt. Wer jemandem traut, ohne in das Handelsregister zu blicken oder sich von den ordentlich bestellten Organen die Vertretungsmacht bestätigen zu lassen, trägt selber das Risiko, dass keinerlei Vertretungsmacht besteht. Die Handlungen des angeblichen Vertreters der juristischen Person zuzurechnen rechtfertigt sich nur, wenn die ordentlich bestellten Organe sich entsprechend geäussert oder die Handlungen bewusst geduldet haben.</w:t>
      </w:r>
    </w:p>
    <w:p>
      <w:r>
        <w:t>Das einzige nach Gesetz vertretungsberechtigte Organ der Beklagten war D.________. Nach den tatsächlichen Feststellungen der Vorinstanz wusste dieser nichts von der Tätigkeit der Kläger für die Beklagte, was sein Nichtwissen von den angeblich seitens der Herren E.________ und C.________ in diesem Zusammenhang ausgeübten Vertretungshandlungen einschliesst. Es sind auch keine Umstände nachgewiesen, welche den Schluss zuliessen, dass D.________ als Verwaltungsrat um die Verhaltensweisen der beiden Herren hätte wissen müssen. Soweit die Kläger in diesem Zusammenhang die Bindung des Bundesgerichts an die tatsächlichen Feststellungen der Vorinstanz missachten und der Begründung ihres Standpunktes einen Sachverhalt zugrunde legen, der im angefochtenen Entscheid keine Stütze findet, ohne zugleich substanziierte Sachverhaltsrügen im Sinne von Art. 63 Abs. 2 und Art. 64 OG zu erheben, sind sie nicht zu hören.</w:t>
      </w:r>
    </w:p>
    <w:p>
      <w:r>
        <w:t>c) Damit fehlt es an der Entgegennahme der Arbeit durch die juristische Person. Es hilft den Klägern bei dieser Sachlage nichts, geglaubt zu haben, für die Beklagte zu arbeiten. Ihre Arbeitsleistung erfüllt den Tatbestand von Art. 320 Abs. 2 OR nicht und eine Anwendung dieser Bestimmung fällt ausser Betracht.</w:t>
      </w:r>
    </w:p>
    <w:p>
      <w:r>
        <w:rPr>
          <w:b/>
        </w:rPr>
        <w:t>E. 3</w:t>
      </w:r>
    </w:p>
    <w:p>
      <w:r>
        <w:t>Nach dem Ausgeführten können die Kläger auch aus Art. 320 Abs. 3 OR nichts zu ihren Gunsten ableiten. Auch dieser Tatbestand setzt voraus, dass die Arbeit objektiv für den Arbeitgeber geleistet worden ist (vgl. Staehelin, a.a.O., N. 33 zu Art. 320 OR ; Rehbinder, N. 45 S. 108 zu Art. 320 OR ; Vischer, a.a.O, S. 53). Es genügt nicht, dass der Arbeitnehmer glaubt, für einen bestimmten Arbeitgeber zu arbeiten.</w:t>
      </w:r>
    </w:p>
    <w:p>
      <w:r>
        <w:rPr>
          <w:b/>
        </w:rPr>
        <w:t>E. 4</w:t>
      </w:r>
    </w:p>
    <w:p>
      <w:r>
        <w:t>Die Klägerin (2) stellt sich eventuell auf den Standpunkt, es sei jedenfalls mit ihr ein Arbeitsvertrag entstanden, weil der Kläger (1) ihr Weisungen erteilt und damit eine Vorgesetztenfunktion wahrgenommen habe. Zu Unrecht.</w:t>
      </w:r>
    </w:p>
    <w:p>
      <w:r>
        <w:t>Ist mangels Entgegennahme der Arbeit des Klägers durch die Beklagte kein Arbeitsvertrag zwischen dem Kläger und der Beklagten entstanden, ist das Handeln des Klägers der Beklagten nicht anzurechnen. Er konnte die Arbeit der Klägerin damit nicht für diese entgegennehmen. Es fehlte ihm an einer entsprechenden Vertretungsmacht. Daran ändert es nichts, wenn er Arbeitgeberfunktionen gegenüber der Klägerin ausgeübt hat. Aus seinen Handlungen lässt sich kein Arbeitsverhältnis zwischen der Beklagten und der Klägerin konstruieren.</w:t>
      </w:r>
    </w:p>
    <w:p>
      <w:r>
        <w:rPr>
          <w:b/>
        </w:rPr>
        <w:t>E. 5</w:t>
      </w:r>
    </w:p>
    <w:p>
      <w:r>
        <w:t>Zusammenfassend hat die Vorinstanz die Ansprüche der Kläger zutreffend verneint. Die Berufung ist abzuweisen und der angefochtene Entscheid zu bestätigen, ohne dass auf die weitere Begründung der Vorinstanz einzugehen ist, wonach es für die Annahme eines Arbeitsverhältnisses an einem Unterordnungsverhältnis der Kläger durch Eingliederung in die Arbeitsorganisation der Beklagten fehle.</w:t>
      </w:r>
    </w:p>
    <w:p>
      <w:r>
        <w:t>Sowohl der Kläger wie auch die Klägerin haben ein Gesuch um unentgeltliche Rechtspflege gestellt. Beiden ist diese schon im kantonalen Verfahren bewilligt worden. Es ist nicht ersichtlich, dass sich ihre wirtschaftliche Lage seither geändert hätte. Ihre Bedürftigkeit ist ausgewiesen. Mit Blick darauf, dass beide Klagen von der ersten Instanz teilweise gutgeheissen worden sind, kann auch das Rechtsmittelverfahren vor Bundesgericht nicht von vornherein als aussichtslos bezeichnet werden. Die unentgeltliche Rechtspflege ist somit zu bewilligen ( Art. 152 Abs. 1 OG ). Da der Streitwert sowohl des Begehrens des Klägers wie auch jenes der Klägerin je unter Fr. 30'000.-- liegt, sind ohnehin keine Gerichtskosten zu erheben ( Art. 343 Abs. 2 und 3 OR ). Demgegenüber ist der Prozessvertreter der Kläger nach Art. 152 Abs. 2 OG aus der Bundesgerichtskasse zu entschädigen. Da die Kläger unterliegen, haben sie die Beklagte für das bundesgerichtliche Verfahren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