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4C.306/1999 vom 11. Juli 2000</w:t>
      </w:r>
    </w:p>
    <w:p>
      <w:r>
        <w:t>Bundesgericht, 2000-07-11, IT</w:t>
      </w:r>
    </w:p>
    <w:p>
      <w:r>
        <w:rPr>
          <w:b/>
        </w:rPr>
        <w:t xml:space="preserve">Quelle: </w:t>
      </w:r>
      <w:r>
        <w:t>https://mcp.opencaselaw.ch/entscheid/bger_4C.306_1999</w:t>
      </w:r>
    </w:p>
    <w:p>
      <w:r>
        <w:t>FR: TF 4C.306/1999 du 11 juillet 2000</w:t>
      </w:r>
    </w:p>
    <w:p>
      <w:r>
        <w:t>IT: TF 4C.306/1999 del 11 luglio 2000</w:t>
      </w:r>
    </w:p>
    <w:p>
      <w:pPr>
        <w:pStyle w:val="Heading2"/>
      </w:pPr>
      <w:r>
        <w:t>Regeste</w:t>
      </w:r>
    </w:p>
    <w:p>
      <w:r>
        <w:t>Proprietà intellettuale, concorrenza e cartelli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Premesso che la registrazione di un marchio da parte dell'Ufficio federale della proprietà intellettuale non vincola il giudice civile, la Corte cantonale ha esaminato la tesi - addotta dalla convenuta - secondo la quale il termine "Brico" non potrebbe beneficiare della protezione quale marchio in quanto segno di dominio pubblico. Dalla perizia giudiziaria è emerso che tale vocabolo, pur non figurando nei dizionari italiani, francesi e tedeschi come sinonimo di "bricolage", gode effettivamente di una certa diffusione nelle aree francofone come mozzatura di questa stessa parola, la quale in tempi recenti è divenuta sinonimo dei prodotti del genere "fai da te" e va pertanto considerata di dominio pubblico, siccome descrittiva di un determinato tipo di merce. In queste circostanze, non risultando la troncatura del termine francese particolarmente fantasiosa né originale - tant'è che il vocabolo da cui deriva è facilmente riconoscibile - l'autorità ticinese ha concluso di dover assimilare "Brico" a un segno di dominio pubblico, ciò che ne esclude, di principio, la protezione come marchio ( art. 2 lett. a LPM ; RS 232.11). Considerato però che in Ticino il segno "Brico" viene ormai chiaramente identificato con la ditta attrice ed i suoi prodotti, la Corte cantonale ha deciso di garantirgli ugualmente protezione, a titolo eccezionale, in applicazione dell'art. 2 lett. a seconda frase LPM. Tale disposto - in vigore dal 1° aprile 1993 e applicabile alla fattispecie in rassegna in virtù dell'art. 76 cpv. 1 e cpv. 2 lett. b LPM - prevede infatti la possibilità di proteggere i segni di dominio pubblico qualora essi «si siano imposti come marchi per i prodotti o i servizi ai quali si riferiscono». Dovendosi ammettere l'asserita violazione del diritto dei marchi, alla convenuta è stato dunque ordinato di cessare immediatamente e per il futuro l'utilizzo, in Ticino, della parola "Brico".</w:t>
      </w:r>
    </w:p>
    <w:p>
      <w:r>
        <w:rPr>
          <w:b/>
        </w:rPr>
        <w:t>E. 2</w:t>
      </w:r>
    </w:p>
    <w:p>
      <w:r>
        <w:t>La causa è rinviata alla Corte cantonale per nuovo giudizio sulle tasse, spese e ripetibili della procedura cantonale.</w:t>
      </w:r>
    </w:p>
    <w:p>
      <w:r>
        <w:rPr>
          <w:b/>
        </w:rPr>
        <w:t>E. 3</w:t>
      </w:r>
    </w:p>
    <w:p>
      <w:r>
        <w:t>La tassa di giustizia di fr. 3000.-- è posta a carico dell'attrice, la quale rifonderà alla convenuta fr. 4000.-- per ripetibili della sede federale. 4. Comunicazione ai patrocinatori delle parti e alla II Camera civile del Tribunale d'appello del Cantone Ticino. Losanna, 11 luglio 2000 VIZ In nome della I Corte civile del TRIBUNALE FEDERALE SVIZZERO: Il Presidente, La Cancelliera,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