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4C.305/2003 vom 3. Mai 2004</w:t>
      </w:r>
    </w:p>
    <w:p>
      <w:r>
        <w:t>Bundesgericht, 2004-05-03, DE</w:t>
      </w:r>
    </w:p>
    <w:p>
      <w:r>
        <w:rPr>
          <w:b/>
        </w:rPr>
        <w:t xml:space="preserve">Quelle: </w:t>
      </w:r>
      <w:r>
        <w:t>https://mcp.opencaselaw.ch/entscheid/bger_4C.305_2003</w:t>
      </w:r>
    </w:p>
    <w:p>
      <w:r>
        <w:t>FR: TF 4C.305/2003 du 3 mai 2004</w:t>
      </w:r>
    </w:p>
    <w:p>
      <w:r>
        <w:t>IT: TF 4C.305/2003 del 3 maggio 2004</w:t>
      </w:r>
    </w:p>
    <w:p>
      <w:pPr>
        <w:pStyle w:val="Heading2"/>
      </w:pPr>
      <w:r>
        <w:t>Regeste</w:t>
      </w:r>
    </w:p>
    <w:p>
      <w:r>
        <w:t>Vertragsrecht</w:t>
      </w:r>
    </w:p>
    <w:p>
      <w:pPr>
        <w:pStyle w:val="Heading2"/>
      </w:pPr>
      <w:r>
        <w:t>Erwägungen</w:t>
      </w:r>
    </w:p>
    <w:p>
      <w:r>
        <w:rPr>
          <w:b/>
        </w:rPr>
        <w:t>E. 1</w:t>
      </w:r>
    </w:p>
    <w:p>
      <w:r>
        <w:t>Die Vorinstanz hat den Beklagten nur so weit zur Deckung der Verluste aus den Devisengeschäften verpflichtetet, als diese nicht aus fehlerhafter Ausführung der vom Beklagten erteilten Aufträge herrührten. Die Klägerin hatte bei nachstehenden Geschäften "stop loss orders" des Beklagten missachtet, weshalb der Beklagte entsprechend dem angefochtenen Urteil nicht den tatsächlich entstandenen (höheren), sondern bloss jenen Verlust zu tragen hat, der bei weisungsgemässer Ausführung eingetreten wäre. Von Interesse sind folgende Geschäfte: a.) 13. Dezember 1994: Kauf von 1 Mia. Lira zum Kurs von 0.08045 mit Fälligkeit am 15. März 1995 gegen Verkauf von Fr. 804'500.--. Daraus resultierte ein Devisenverlust von Fr. 99'800.-- für den Beklagten. Wäre der Verkauf weisungsgemäss am 1. März 1995 erfolgt, hätte der Kurs 0.0757 und der Devisenverlust Fr. 47'500.-- betragen. b.) 16. Januar 1995: Kauf von 2 Mia. Lire Valuta 21. Februar 1995 zum Kurs von 0.0802 gegen Fr. 1'604'000.-- mit "Swap" (Verlängerung) durch den Beklagten vom 17. Februar 1995 bis zum 21. November 1995. Mit dieser Verlängerung ergab sich ein Verlust von Fr. 30'600.--. Hieraus hätte sich bei Einhaltung der "stop loss order" ein Verlust von Fr. 90'000.-- ergeben. Insoweit lässt der Beklagte das kantonale Urteil unangefochten.</w:t>
      </w:r>
    </w:p>
    <w:p>
      <w:r>
        <w:rPr>
          <w:b/>
        </w:rPr>
        <w:t>E. 2</w:t>
      </w:r>
    </w:p>
    <w:p>
      <w:r>
        <w:t>Gegenstand der Berufung bildet einzig folgendes Devisengeschäft: Am 23. Januar 1995 tätigte der Beklagte einen Kauf von 50 Mio. Japanischer Yen gegen 797'500'000.-- Lire per Valuta 27. Februar 1995. Einen ersten mit Bezug auf diese Position erteilten SWAP-Auftrag des Beklagten auf den 26. Februar 1995 per 21. November 1995 führte die Klägerin nicht aus. Am 2. März 1995 erneuerte der Beklagte den Swap-Auftrag. Gleichentags wurde die Lire/Yen-Position Valuta 6. Dezember 1995 auftragsgemäss verlängert. In der Folge verlor die Lire gegenüber dem Yen immer mehr an Kaufkraft, und die Margensicherheit war nicht mehr gewährleistet. Die Klägerin exekutierte daher am 13. März 1995 dieses Devisengeschäft. Die Liquidation erfolgte jedoch nach Auffassung der Vorinstanz viel zu spät, denn die Kreditmarge war bereits am 2. März 1995 unterschritten. Die Vorinstanz erwog, die Klägerin hätte den Kreditkontrakt Yen/Lire bereits damals liquidieren müssen. Indem die Klägerin den Kontrakt erst am 13. März 1995 glatt stellte, habe sie gegen ihre auftragsrechtliche Sorgfaltspflicht ( Art. 398 OR ) verstossen. Sie habe deshalb den zwischen dem 2. und 13. März 1995 aufgelaufenen Verlust selbst zu tragen, während dem Kläger lediglich der bis zum 2. März 1995 entstandene Verlust verbleibe. Dieser Verlust wurde im Entscheid der Vorinstanz vom 16. Dezember 2003 betragsmässig korrigiert und nunmehr mit Fr. 44'284.50 beziffert.</w:t>
      </w:r>
    </w:p>
    <w:p>
      <w:r>
        <w:rPr>
          <w:b/>
        </w:rPr>
        <w:t>E. 3.1</w:t>
      </w:r>
    </w:p>
    <w:p>
      <w:r>
        <w:t>Der Beklagte macht in der Berufung geltend, die Vorinstanz habe verkannt, dass die Klägerin im Sinne von Art. 398 OR verpflichtet gewesen wäre, vor der Schliessung der Yen/Lire-Position zusätzliche Sicherheiten einzufordern, die er zu erbringen in der Lage gewesen wäre. Hätte sie ihn zum Nachschuss angehalten, wäre angesichts der Währungsentwicklung im Zeitpunkt des Ablaufs des Kontrakts kein Verlust eingetreten.</w:t>
      </w:r>
    </w:p>
    <w:p>
      <w:r>
        <w:rPr>
          <w:b/>
        </w:rPr>
        <w:t>E. 3.2.1</w:t>
      </w:r>
    </w:p>
    <w:p>
      <w:r>
        <w:t>Die Vereinbarung einer bestimmten Deckungsmarge dient in erster Linie dazu, das Risiko der Bank zu begrenzen, mithin dem Eigeninteresse der Bank. Deren Sicherungsrechte richten sich, abgesehen von zwingenden gesetzlichen Bestimmungen ( BGE 108 Ib 186 E. 5a S. 192 f.), nach den vertraglichen Abmachungen in den jeweiligen Sicherungsvereinbarungen, den Allgemeinen Geschäftsbedingungen sowie den Depotreglementen (Urs Philipp Roth, Pfandrechte in der Praxis der Banken, in: Wolfgang Wiegand (Hrsg.), Mobiliarsicherheiten, Berner Bankrechtstagung 1998, Bern 1998, S. 152, Rz. 64). Nur wenn die besondere Margendeckungsabrede nach den allgemeinen Auslegungsregeln für Verträge ( Art. 18 OR ) auf eine Schutzpflicht zu Gunsten des Kunden schliessen liesse, könnte dieser aus einer von der Bank abmachungswidrig geduldeten Unterschreitung der Deckung gestützt auf Art. 398 Abs. 2 OR Rechte ableiten. Ist die Bank - wie vorliegend - nicht zur Vermögensverwaltung beauftragt, ist sie nicht verpflichtet, sich um die Begrenzung des Verlustrisikos des Kunden zu kümmern (Urteil des Bundesgerichts 4C.302/1994 vom 27. Dezember 1995, E. 3c/aa, mit Hinweis). Macht der Kunde eine Pflichtwidrigkeit der Bank beim Vorgehen im Falle einer Unterdeckung geltend, hat er wiederum darzulegen, gegen welche mit ihm getroffenen Abreden die Bank verstossen hat oder inwiefern in ihrem Verhalten eine Verletzung der allgemeinen auftragsrechtlichen Treuepflicht liegen soll (vgl. Urteile des Bundesgerichts 4C.152/2002 vom 22. Juli 2002, E. 2.2, und 4C.171/2000 vom 6. Dezember 2000, E. 2.3).</w:t>
      </w:r>
    </w:p>
    <w:p>
      <w:r>
        <w:rPr>
          <w:b/>
        </w:rPr>
        <w:t>E. 3.2.2</w:t>
      </w:r>
    </w:p>
    <w:p>
      <w:r>
        <w:t>Aus dem angefochtenen Urteil geht nicht hervor, und der Kläger zeigt nicht auf, inwiefern die Beklagte vertraglich verpflichtet gewesen wäre, ihn vor einer Glattstellung der offenen Kontrakte bei Unterschreitung der vereinbarten Deckung zur Aufstockung der Sicherheiten aufzufordern. Hat sich aber die Klägerin gegenüber dem Beklagten nicht explizit verpflichtet, mit der Liquidation eines Kontrakts bis zum Ablauf einer festzusetzenden Nachschussfrist - über deren Dauer macht der Kläger keine Angaben - zuzuwarten, verletzt die Beklagte keine Sorgfaltspflicht, wenn sie bei fehlender Margendeckung und für den Kunden negativer Kursentwicklung unmittelbar zur Glattstellung schreitet. Besondere Umstände, die ein Zuwarten mit der Glattstellung des Kontrakts geboten hätten, sind ebenfalls nicht ersichtlich und werden vom Beklagten nicht dargetan. Gegenteils steht nach dem angefochtenen Urteil fest, dass im März 1995 nicht mit einer Erholung der Lire gegenüber dem Yen gerechnet werden konnte. Der Beklagten kann daher insoweit auch kein Verstoss gegen die allgemeine auftragsrechtliche Treuepflicht vorgeworfen werden. Die Vorinstanz hat daher im Ergebnis Art. 398 OR nicht verletzt.</w:t>
      </w:r>
    </w:p>
    <w:p>
      <w:r>
        <w:rPr>
          <w:b/>
        </w:rPr>
        <w:t>E. 4</w:t>
      </w:r>
    </w:p>
    <w:p>
      <w:r>
        <w:t>Aus den dargelegten Gründen erweist sich die Berufung als unbegründet und ist abzuweisen. Dem Verfahrensausgang entsprechend ist die Gerichtsgebühr dem Beklagten aufzuerlegen ( Art. 156 Abs. 1 OG ), der zudem die Klägerin für das bundesgerichtliche Verfahren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