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4C.304/2005 vom 8. Dezember 2005</w:t>
      </w:r>
    </w:p>
    <w:p>
      <w:r>
        <w:t>Bundesgericht, 2005-12-08, FR</w:t>
      </w:r>
    </w:p>
    <w:p>
      <w:r>
        <w:rPr>
          <w:b/>
        </w:rPr>
        <w:t xml:space="preserve">Quelle: </w:t>
      </w:r>
      <w:r>
        <w:t>https://mcp.opencaselaw.ch/entscheid/bger_4C.304_2005</w:t>
      </w:r>
    </w:p>
    <w:p>
      <w:r>
        <w:t>FR: TF 4C.304/2005 du 8 décembre 2005</w:t>
      </w:r>
    </w:p>
    <w:p>
      <w:r>
        <w:t>IT: TF 4C.304/2005 del 8 dicembre 2005</w:t>
      </w:r>
    </w:p>
    <w:p>
      <w:pPr>
        <w:pStyle w:val="Heading2"/>
      </w:pPr>
      <w:r>
        <w:t>Regeste</w:t>
      </w:r>
    </w:p>
    <w:p>
      <w:r>
        <w:t>acte illicite, concurrence déloyale | Droit des obligations (en général)</w:t>
      </w:r>
    </w:p>
    <w:p>
      <w:pPr>
        <w:pStyle w:val="Heading2"/>
      </w:pPr>
      <w:r>
        <w:t>Erwägungen</w:t>
      </w:r>
    </w:p>
    <w:p>
      <w:r>
        <w:rPr>
          <w:b/>
        </w:rPr>
        <w:t>E. 1.1</w:t>
      </w:r>
    </w:p>
    <w:p>
      <w:r>
        <w:t>Formé par les défendeurs, qui ont succombé dans leurs conclusions libératoires, et dirigé contre un jugement final rendu en instance cantonale unique par l'autorité judiciaire suprême du canton de Vaud ( art. 48 OJ , 42 al. 1 de la loi fédérale sur la protection des obtentions végétales du 20 mars 1975, ci-après: LPOV (RS 232.16), 12 al. 2 de la loi fédérale contre la concurrence déloyale du 19 décembre 1986, ci-après: LCD (RS 241), et 74 al. 3 de la loi vaudoise d'organisation judiciaire du 12 décembre 1979), le recours est recevable sans égard à la valeur litigieuse ( art. 45 let. a OJ , 42 al. 2 LPOV et 12 al. 2 LCD). Il a par ailleurs été interjeté en temps utile ( art. 54 al. 1 OJ ) et dans les formes requises ( art. 55 OJ ), de sorte qu'il y a lieu d'entrer en matière.</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 permet pas de remettre en cause l'appréciation des preuves et les constatations de fait qui en découlent ( ATF 130 III 136 consid. 1.4; 129 III 618 consid. 3).</w:t>
      </w:r>
    </w:p>
    <w:p>
      <w:r>
        <w:rPr>
          <w:b/>
        </w:rPr>
        <w:t>E. 2.1</w:t>
      </w:r>
    </w:p>
    <w:p>
      <w:r>
        <w:t>Dans un premier moyen, les défendeurs reprochent à la cour cantonale d'avoir admis leur légitimation passive, laquelle appartiendrait à la société T.________ SA, qui seule aurait fait le commerce des pommes de terre de type "Z.________".</w:t>
      </w:r>
    </w:p>
    <w:p>
      <w:r>
        <w:rPr>
          <w:b/>
        </w:rPr>
        <w:t>E. 2.2</w:t>
      </w:r>
    </w:p>
    <w:p>
      <w:r>
        <w:t>La qualité pour agir (légitimation active) et la qualité pour défendre (légitimation passive) sont des questions de droit matériel, de sorte qu'elles ressortissent au droit privé fédéral s'agissant des actions soumises à ce droit ( ATF 130 III 417 consid. 3.1; 126 III 59 consid. 1a p. 63). Elles se déterminent selon le droit au fond et leur défaut conduit au rejet de l'action qui intervient indépendamment de la réalisation des éléments objectifs de la prétention litigieuse ( ATF 126 III 59 consid. 1a p. 63; 125 III 82 consid. 1a p. 83). Cette question doit en particulier être examinée d'office et librement ( ATF 126 III 59 consid. 1a p. 63; 114 II 345 consid. 3d). En matière de biens immatériels et de concurrence déloyale, quiconque contrevient à une disposition légale ou participe à une infraction a qualité pour défendre (Troller, Précis du droit suisse des biens immatériels, Bâle 2001, p. 383; cf. également von Büren/Marbach, Immaterialgüter- und Wettbewerbsrecht, 2e éd., Berne 2002, n. 881 p. 177). Plus particulièrement, dans le domaine de la LCD, la légitimation passive appartient à quiconque se comporte de manière déloyale au sens de la loi, qu'il agisse seul ou comme participant (arrêt 4C.139/2003 du 4 septembre 2003, publié in sic! 2004 p. 430, consid. 2.1 p. 431 et la référence à Pedrazzini/Pedrazzini, Unlauterer Wettbewerb UWG, 2e éd., Berne 2002, n. 17.02 p. 276). La définition très large de la légitimation passive s'explique par le fait que la protection est accordée contre toute personne qui peut influencer la concurrence économique de manière significative, peu importe que l'agissement considéré relève d'une activité économique ou simplement d'un comportement privé. En réalité, seul le résultat compte, à savoir une influence potentielle sur le marché et la concurrence économique (arrêt 4C.139/2003 du 4 septembre 2003, publié in sic! 2004 p. 430, consid. 2.1 p. 431 et les références citées, notamment à von Büren/Marbach, op. cit., n. 882 p. 177 s.; Pedrazzini/Pedrazzini, op. cit., n. 17.02 p. 276).</w:t>
      </w:r>
    </w:p>
    <w:p>
      <w:r>
        <w:rPr>
          <w:b/>
        </w:rPr>
        <w:t>E. 2.3</w:t>
      </w:r>
    </w:p>
    <w:p>
      <w:r>
        <w:t>En l'espèce, la cour cantonale a considéré que les défendeurs exploitaient un domaine agricole sur lequel ils avaient cultivé, au cours de l'année 2000, des pommes de terre de variété "Z.________". A l'audience de mesures provisionnelles, ils s'étaient engagés tous deux à s'abstenir de toute culture, multiplication et commercialisation de pommes de terre de cette variété. Ils n'avaient pas contesté leur légitimation passive. Certes, c'était la société T.________ SA qui avait facturé les diverses livraisons de pommes de terre à W.________. Toutefois on ne saurait en déduire que toute l'activité commerciale et la production de ces pommes de terre se faisaient au seul nom de cette société. A cet égard, les demanderesses avaient produit un sachet de pommes de terre sur lequel on pouvait lire "Z.________, A.________". En outre, sur une photo produite par celles-ci, on pouvait voir des pommes de terre en vrac sur un étalage de magasin, au-dessus duquel figurait une ardoise portant la mention "P.D.T NOUVELLES. Z.________ du pays A./B.________-...". Seul le nom des défendeurs apparaissait, à l'exclusion de celui de la société T.________ SA. Par ailleurs, un témoin avait affirmé que la production de pommes de terre de variété "Z.________" était exploitée par les défendeurs, à titre personnel, comme tous les paysans, et que seules les factures étaient adressées à T.________ SA. Au vu de ces éléments, il convenait d'admettre la légitimation passive des défendeurs.</w:t>
      </w:r>
    </w:p>
    <w:p>
      <w:r>
        <w:rPr>
          <w:b/>
        </w:rPr>
        <w:t>E. 2.4</w:t>
      </w:r>
    </w:p>
    <w:p>
      <w:r>
        <w:t>Essentiellement appellatoire, l'argumentation des défendeurs se résume en une vaine remise en cause de l'appréciation des preuves et des faits à laquelle la cour cantonale s'est livrée pour aboutir à la conclusion que leur légitimation passive devait être admise, de sorte qu'elle est irrecevable dans le cadre d'un recours en réforme. Il en va en particulier ainsi des développements qui reposent sur la prémisse erronée que le fait qu'ils aient commercialisé des pommes de terre de variété "Z.________" n'aurait pas été établi à satisfaction de droit. Pour le surplus, l'on ne voit pas, sur la base des faits souverainement établis par la cour cantonale, en quoi celle-ci aurait violé le droit fédéral en admettant la légitimation passive des défendeurs. Partant, le moyen ne saurait être accueilli.</w:t>
      </w:r>
    </w:p>
    <w:p>
      <w:r>
        <w:rPr>
          <w:b/>
        </w:rPr>
        <w:t>E. 3.1</w:t>
      </w:r>
    </w:p>
    <w:p>
      <w:r>
        <w:t>Dans un second grief, les défendeurs plaident derechef qu'il ne serait pas établi qu'ils aient commercialisé la pomme de terre "Z.________", de sorte que la LCD ne serait pas applicable. Ils exposent ensuite s'être engagés à s'abstenir de toute culture, multiplication ou commercialisation de ladite variété jusqu'à droit connu de la validité des certificats d'octroi de protection végétale y relatifs, ce dont on ne saurait déduire qu'ils ne reconnaissaient pas les droits des demanderesses, mais bien au contraire s'en remettaient à justice. Cela signifierait que la demande en interdiction, pour autant qu'elle soit bien dirigée contre eux, ne serait pas fondée en droit, ce qui entraînerait l'accueil de leurs conclusions libératoires.</w:t>
      </w:r>
    </w:p>
    <w:p>
      <w:r>
        <w:rPr>
          <w:b/>
        </w:rPr>
        <w:t>E. 3.2</w:t>
      </w:r>
    </w:p>
    <w:p>
      <w:r>
        <w:t>En matière de protection des obtentions végétales, les mêmes actions en contrefaçon existent que dans le reste de la propriété intellectuelle (Dessemontet, La propriété intellectuelle, Lausanne 2000, n. 715 p. 320).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(cf. ATF 116 II 357 consid. 2a et l'arrêt cité; plus récemment arrêt 4C.238/2003 du 2 juin 2004, publié in sic! 2004 p. 876, consid. 2.2 p. 877).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(cf. ATF 116 II 357 consid. 2a et les arrêts cités; plus récemment arrêt 4C.238/2003 du 2 juin 2004, publié in sic! 2004 p. 876, consid. 2.2 p. 877; 4C.28/2002 du 6 mai 2002, publié in sic! 2002 p. 599, consid. 5.1 p. 601). Cette présomption peut être renversée si le défendeur établit des circonstances qui excluent une récidive dans le cas concret ou qui la font apparaître comme invraisemblable. Il y a cependant lieu de poser des exigences strictes pour pouvoir écarter cette présomption. Celle-ci ne sera renversée ni par la cessation des violations, ni par la simple déclaration du défendeur de renoncer à des atteintes futures, s'il ne reconnaît pas simultanément la prétention du demandeur ( ATF 116 II 357 consid. 2b et l'arrêt cité).</w:t>
      </w:r>
    </w:p>
    <w:p>
      <w:r>
        <w:rPr>
          <w:b/>
        </w:rPr>
        <w:t>E. 3.3</w:t>
      </w:r>
    </w:p>
    <w:p>
      <w:r>
        <w:t>Dans la présente affaire, la cour cantonale a considéré en substance qu'au cours de l'année 2000, les défendeurs avaient produit des pommes de terre dénommées "Z.________" qu'ils avaient vendues à W.________. Ils n'étaient pas des producteurs agréés de la demanderesse Y.________ et ne disposaient d'aucune autorisation leur permettant de produire ou de distribuer la variété de pommes de terre "Z.________". Par conséquent, en produisant et en commercialisant à titre professionnel cette variété de pommes de terre, ils avaient agi en violation de l'art. 12 LPOV. Peu importait, à cet égard, qu'ils l'aient exploitée de manière biologique. Les pommes de terre produites et commercialisées par les défendeurs portaient le même nom que la variété protégée dont la demanderesse X.________ SA était titulaire. Il était manifeste qu'il existait un risque de confusion direct avec la production réglementée exclusivement par les demanderesses. Par conséquent, il convenait d'admettre que les défendeurs avaient également commis un acte illicite au sens de l' art. 3 let . d LCD. Les défendeurs contestaient avoir agi en violation des droits des demanderesses. Dès lors qu'ils ne reconnaissaient pas les droits de celles-ci et que l'on ne discernait pas de circonstances permettant d'exclure qu'une telle violation ne se reproduise, il convenait de présumer un danger de répétition des actes incriminés. Ainsi, les conditions d'une action en interdiction au sens de l'art. 12 (recte: 37) LPOV étaient réalisées.</w:t>
      </w:r>
    </w:p>
    <w:p>
      <w:r>
        <w:rPr>
          <w:b/>
        </w:rPr>
        <w:t>E. 3.4</w:t>
      </w:r>
    </w:p>
    <w:p>
      <w:r>
        <w:t>En l'occurrence, et quoi que persistent à en dire les défendeurs, l'état de fait déterminant fait apparaître qu'ils ont porté atteinte aux droits des demanderesses, dont ils n'ont pas reconnu la prétention. Dans ces circonstances, l'on ne voit pas que la présomption susmentionnée puisse être renversée. En particulier, la signature, à l'audience de mesures provisionnelles, d'une transaction aux termes de laquelle les défendeurs s'engageaient à s'abstenir de toute culture, multiplication et commercialisation de pommes de terre "Z.________" ne saurait constituer une circonstance permettant d'exclure une récidive dans le cas d'espèce. En conséquence, la cour cantonale n'a pas violé le droit fédéral en prononçant les interdictions incriminées.</w:t>
      </w:r>
    </w:p>
    <w:p>
      <w:r>
        <w:rPr>
          <w:b/>
        </w:rPr>
        <w:t>E. 4</w:t>
      </w:r>
    </w:p>
    <w:p>
      <w:r>
        <w:t>Il résulte des considérants qui précèdent que le recours des défendeurs doit être rejeté dans la mesure de sa recevabilité.</w:t>
      </w:r>
    </w:p>
    <w:p>
      <w:r>
        <w:rPr>
          <w:b/>
        </w:rPr>
        <w:t>E. 5</w:t>
      </w:r>
    </w:p>
    <w:p>
      <w:r>
        <w:t>Compte tenu de l'issue du litige, les frais et dépens seront supportés par les défendeurs,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