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4C.298/2005 vom 3. Januar 2006</w:t>
      </w:r>
    </w:p>
    <w:p>
      <w:r>
        <w:t>Bundesgericht, 2006-01-03, FR</w:t>
      </w:r>
    </w:p>
    <w:p>
      <w:r>
        <w:rPr>
          <w:b/>
        </w:rPr>
        <w:t xml:space="preserve">Quelle: </w:t>
      </w:r>
      <w:r>
        <w:t>https://mcp.opencaselaw.ch/entscheid/bger_4C.298_2005</w:t>
      </w:r>
    </w:p>
    <w:p>
      <w:r>
        <w:t>FR: TF 4C.298/2005 du 3 janvier 2006</w:t>
      </w:r>
    </w:p>
    <w:p>
      <w:r>
        <w:t>IT: TF 4C.298/2005 del 3 gennaio 2006</w:t>
      </w:r>
    </w:p>
    <w:p>
      <w:pPr>
        <w:pStyle w:val="Heading2"/>
      </w:pPr>
      <w:r>
        <w:t>Regeste</w:t>
      </w:r>
    </w:p>
    <w:p>
      <w:r>
        <w:t>contrat de travail; licenciement immédiat | Droit des contrats</w:t>
      </w:r>
    </w:p>
    <w:p>
      <w:pPr>
        <w:pStyle w:val="Heading2"/>
      </w:pPr>
      <w:r>
        <w:t>Erwägungen</w:t>
      </w:r>
    </w:p>
    <w:p>
      <w:r>
        <w:rPr>
          <w:b/>
        </w:rPr>
        <w:t>E. 1.1</w:t>
      </w:r>
    </w:p>
    <w:p>
      <w:r>
        <w:t>Interjeté par la défenderesse, qui a été déboutée de ses conclusions, et dirigé contre un jugement final rendu en dernière instance cantonale par un tribunal supérieur ( art. 48 OJ ) sur une contestation civile dont la valeur litigieuse atteint le seuil de 8'000 fr. ( art. 46 OJ ), le recours en réforme est en principe valable, puisqu'il a été déposé en temps utile (art. 32, 34 al. 1 let. b et 54 al. 1 OJ) et dans les formes requises ( art. 55 OJ ).</w:t>
      </w:r>
    </w:p>
    <w:p>
      <w:r>
        <w:rPr>
          <w:b/>
        </w:rPr>
        <w:t>E. 1.2</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2</w:t>
      </w:r>
    </w:p>
    <w:p>
      <w:r>
        <w:t>L'existence d'un contrat de travail liant la défenderesse, personne morale, et le demandeur, directeur de celle-ci, n'est pas remise en cause devant le Tribunal fédéral, de sorte que la Cour de céans n'a pas à revenir sur ce point (art. 55 al. 1 let. b et c OJ).</w:t>
      </w:r>
    </w:p>
    <w:p>
      <w:r>
        <w:rPr>
          <w:b/>
        </w:rPr>
        <w:t>E. 3</w:t>
      </w:r>
    </w:p>
    <w:p>
      <w:r>
        <w:t>La défenderesse reproche premièrement à la cour cantonale d'avoir violé l' art. 337 CO en considérant que les motifs de résiliation qu'elle avait invoqués à l'appui du licenciement du demandeur ne suffisaient ni individuellement, ni collectivement pour justifier une résiliation du contrat de travail avec effet immédiat.</w:t>
      </w:r>
    </w:p>
    <w:p>
      <w:r>
        <w:rPr>
          <w:b/>
        </w:rPr>
        <w:t>E. 3.1</w:t>
      </w:r>
    </w:p>
    <w:p>
      <w:r>
        <w:t>Selon l' art. 337 al. 1 1 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 ATF 130 III 28 consid. 4.1 p. 31, 213 consid. 3.1 p. 220; 127 III 351 consid. 4a p. 353).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28 consid. 4.1 p. 31, 213 consid. 3.1 p. 221; 129 III 380 consid. 2.1). Par manquement du travailleur, on entend en règle générale la violation d'une obligation découlant du contrat de travail ( ATF 130 III 28 consid. 4.1 p. 31; 127 III 351 consid. 4a p. 354), comme par exemple le devoir de fidélité ( ATF 127 III 351 consid. 4a p. 354; 121 III 467 consid. 4d). 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130 III 28 consid. 4.1 p. 32; 127 III 351 consid. 4a p. 354).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213 consid. 3.1 p. 220; 129 III 380 consid. 2 p. 382). C'est à l'employeur qui entend se prévaloir de justes motifs de licenciement immédiat de démontrer leur existence (arrêt 4C.174/2003 du 27 octobre 2003, consid. 3.2.3 et les références citées; plus récemment Brunner/Bühler/Waeber/Bruchez, Commentaire du contrat de travail, 3e éd., Lausanne 2004, n. 13 ad art. 337 CO ).</w:t>
      </w:r>
    </w:p>
    <w:p>
      <w:r>
        <w:rPr>
          <w:b/>
        </w:rPr>
        <w:t>E. 3.2</w:t>
      </w:r>
    </w:p>
    <w:p>
      <w:r>
        <w:t>Au contraire du Tribunal des prud'hommes, la cour cantonale a considéré qu'en l'espèce, s'agissant du grief lié à l'activité que le demandeur aurait déployée pour son propre compte en Algérie en partie sur son temps de travail, il ressortait de l'instruction que ni la répartition des tâches, ni le temps que chacun des deux directeurs de la défenderesse devaient lui consacrer n'avaient été strictement définis et formalisés entre les deux dirigeants et propriétaires de celle-ci. A cet égard, B.________ avait admis qu'en 2001, l'activité du demandeur avait généré 60 % du chiffre d'affaires et sa propre activité 20 %. Selon lui, cette répartition s'était inversée en 2002. D'autre part, les enquêtes n'avaient pas permis d'établir si les activités du demandeur en Algérie après mars 2002 allaient au-delà de la simple terminaison des relations en cours au moment de la décision. L'instruction avait en revanche établi que les activités et agendas respectifs de B.________ et du demandeur faisaient problème entre eux bien avant la date de licenciement immédiat. Ainsi, lors des réunions avec le personnel de la défenderesse, ils avaient d'un commun accord décidé de ne plus s'occuper de ce que faisait l'autre, ce que B.________ avait confirmé par écrit au demandeur le 21 août 2002. Dans ces circonstances, les activités que le demandeur aurait continuées d'avoir en Algérie après la décision de mars 2002 de mettre un terme à celles-ci ne justifiaient pas un licenciement immédiat au sens de l' art. 337 CO . Ne constituaient pas davantage un motif de licenciement immédiat, compte tenu de toutes les circonstances, les autres reproches contenus dans la lettre de la défenderesse. Avec les premiers juges, la cour cantonale a considéré que ni le déplacement à Paris du demandeur pendant son congé maladie, ni l'absence de déclaration immédiate à l'assurance au sujet du vol de l'ordinateur portable, ni l'existence d'une procuration contrefaite en faveur du demandeur ne pouvaient fonder, dans le cas d'espèce, un juste motif de licenciement.</w:t>
      </w:r>
    </w:p>
    <w:p>
      <w:r>
        <w:rPr>
          <w:b/>
        </w:rPr>
        <w:t>E. 3.3</w:t>
      </w:r>
    </w:p>
    <w:p>
      <w:r>
        <w:t>Dans son écriture, la défenderesse présente une argumentation de type appellatoire inadmissible dans le cadre d'un recours en réforme. En effet, pour chacun des cinq griefs invoqués à l'appui du licenciement du demandeur, elle se limite à discuter l'appréciation des preuves recueillies et à exposer sa propre version des faits. Ainsi, s'agissant de l'activité prétendument concurrente et du supposé commerce de programmes informatiques en Algérie, elle méconnaît que la cour cantonale a en particulier retenu, de manière souveraine, que le demandeur bénéficiait d'une grande liberté dans l'organisation de son temps et de son travail et qu'il n'avait pas été possible d'établir si ses activités allaient au-delà de la simple terminaison des relations en cours, faits qu'il incombait le cas échéant à la défenderesse de contester par le biais d'un recours de droit public. Quoi qu'en dise la défenderesse, l'on ne se trouve en l'occurrence pas dans une situation similaire à celle de l'employé qui aurait commencé une activité concurrente en cours d'emploi ou aurait cherché à débaucher d'autres collaborateurs, violant par-là son devoir de fidélité, de telle sorte que l'employeur serait fondé à le licencier avec effet immédiat (cf. ATF 117 II 72 consid. 4a; plus récemment arrêt 4C.98/2005 du 27 juillet 2005, consid. 3.1). Pour ce qui est de la procuration soi-disant établie sans droit par A.________, du déplacement de celui-ci à Paris pendant son congé maladie et l'absence d'annonce à la société d'assurance de ce que l'ordinateur avait été retrouvé, la cour cantonale s'est implicitement référée aux considérations du Tribunal des prud'hommes. Concernant le premier point, celui-ci a retenu qu'en l'absence de tout élément probant, il n'était pas en mesure de déterminer l'identité de l'auteur de la pièce litigieuse et que, par ailleurs, il n'avait pas été démontré que le demandeur en ait fait usage, en particulier après le 31 mars 2002. En d'autres termes, aucun élément concret ne tendait a priori à démontrer l'existence d'une infraction pour faux dans les titres au sens du Code pénal. Il seyait toutefois de relever qu'un tel document était propre à faciliter la conclusion d'affaires en Algérie, notamment après que la défenderesse ait cessé son activité dans ce pays. Au sujet du séjour à Paris, les premiers juges ont considéré que l'absence du demandeur était strictement liée à la nécessité médicale et avérée, pour sa compagne, d'être accompagnée à raison d'une opération de la rétine, et ne saurait en aucun cas constituer un juste motif de licenciement avec effet immédiat, du moins en l'absence de tout avertissement antérieur pour des faits similaires. S'agissant du dernier point, le Tribunal a retenu qu'aucune infraction telle qu'une escroquerie à l'assurance n'avait été commise, ni même tentée, et que ce grief n'était donc pas propre à justifier un licenciement avec effet immédiat. A cela s'ajoutait le fait qu'il n'existait aucune proximité temporelle entre le moment du sinistre et la déclaration de vol d'une part, et la décision de licenciement d'autre part.</w:t>
      </w:r>
    </w:p>
    <w:p>
      <w:r>
        <w:rPr>
          <w:b/>
        </w:rPr>
        <w:t>E. 3.4</w:t>
      </w:r>
    </w:p>
    <w:p>
      <w:r>
        <w:t>En définitive, il apparaît que la défenderesse n'est parvenue à démontrer ni l'existence de motifs d'une gravité telle qu'ils auraient permis de justifier une résiliation immédiate, ni celle d'un avertissement en dépit duquel le demandeur aurait persisté dans les manquements reprochés. Ainsi, l'on ne voit pas que, sur la base de l'état de fait souverain, la cour cantonale ait méconnu l' art. 337 CO en considérant que la défenderesse n'était pas fondée à résilier le contrat de travail du demandeur avec effet immédiat. Partant, le premier grief de la défenderesse ne peut qu'être rejeté.</w:t>
      </w:r>
    </w:p>
    <w:p>
      <w:r>
        <w:rPr>
          <w:b/>
        </w:rPr>
        <w:t>E. 3.5</w:t>
      </w:r>
    </w:p>
    <w:p>
      <w:r>
        <w:t>La résiliation immédiate n'étant pas justifiée, c'est à bon droit que la défenderesse a été condamnée à verser au demandeur l'équivalent de ce qu'il aurait gagné si les rapports de travail avaient pris fin à l'échéance du délai de congé (cf. art. 337c al. 1 CO ), ainsi qu'à une indemnité au sens de l' art. 337c al. 3 CO , dont la défenderesse n'a d'ailleurs pas remis le montant en cause à titre subsidiaire.</w:t>
      </w:r>
    </w:p>
    <w:p>
      <w:r>
        <w:rPr>
          <w:b/>
        </w:rPr>
        <w:t>E. 4</w:t>
      </w:r>
    </w:p>
    <w:p>
      <w:r>
        <w:t>La défenderesse expose ensuite qu'en conduisant divers projets en Algérie, dans son seul intérêt et au détriment de son employeur, le demandeur s'est conduit en gérant d'affaires sans mandat, de sorte qu'en application de l' art. 423 al. 1 CO , les profits résultant de cette gestion d'affaires reviendraient exclusivement au maître, soit en l'espèce à la défenderesse. Le comportement du demandeur serait également constitutif de concurrence déloyale à l'encontre de son employeur, de sorte que la défenderesse serait légitimée à exiger la remise du gain, en application de l' art. 9 al. 3 LCD . En définitive, elle conclut à la confirmation du montant de 10'000 fr. qui lui avait été alloué par le Tribunal des prud'hommes à titre de remise du gain et de remboursement des salaires.</w:t>
      </w:r>
    </w:p>
    <w:p>
      <w:r>
        <w:rPr>
          <w:b/>
        </w:rPr>
        <w:t>E. 4.1</w:t>
      </w:r>
    </w:p>
    <w:p>
      <w:r>
        <w:t>S'agissant de l'indemnité que les premiers juges avaient octroyée à la défenderesse en application des art. 321b, 321e et 42 al. 2 CO , la cour cantonale a retenu que la défenderesse, qui supportait le fardeau de la preuve, n'avait établi ni l'existence d'une violation du devoir de fidélité ni l'existence d'un dommage. Il ressortait notamment de l'instruction de la cause que la répartition des tâches au sein de la défenderesse entre B.________ et le demandeur était imprécise et laissait une large autonomie à chacun d'eux dans l'exécution de celles-ci. Ils avaient en outre convenu de ne pas s'immiscer dans ce que faisait l'autre. A cet égard, il ressortait des déclarations de B.________ qu'aussi bien le demandeur que lui-même avaient contribué de manière inégale aux résultats de la défenderesse, B.________ ayant déclaré qu'en 2001, l'activité du demandeur avait généré 60 % du chiffre d'affaires et sa propre activité 20 %, et que cette répartition s'était inversée en 2002. La défenderesse n'avait pas prouvé que le demandeur avait généré un quelconque revenu en vendant des logiciels, ni que les activités déployées par le demandeur en Algérie après mars 2002 avaient produit un quelconque profit. Il découlait de ce qui précédait que faute d'avoir prouvé l'existence soit d'une violation des obligations contractuelles du demandeur à son égard, soit d'un préjudice résultant de telles violations, la défenderesse ne pouvait prétendre à l'indemnité de 10'000 fr. retenue par les premiers juges.</w:t>
      </w:r>
    </w:p>
    <w:p>
      <w:r>
        <w:rPr>
          <w:b/>
        </w:rPr>
        <w:t>E. 4.2</w:t>
      </w:r>
    </w:p>
    <w:p>
      <w:r>
        <w:t>Dans la mesure où l'existence d'un gain n'a pas pu être établie, le grief de la défenderesse est vain, puisque l'application tant des art. 321b et 321e CO que celle des art. 413 al. 1 CO et 9 al. 3 LCD suppose précisément l'existence d'un gain, respectivement d'un profit, qui fait défaut en l'espèce. Fondé sur des faits qui ne correspondent pas aux constatations cantonales, le moyen de la défenderesse n'est pas recevable.</w:t>
      </w:r>
    </w:p>
    <w:p>
      <w:r>
        <w:rPr>
          <w:b/>
        </w:rPr>
        <w:t>E. 5</w:t>
      </w:r>
    </w:p>
    <w:p>
      <w:r>
        <w:t>Dans un dernier grief très succinctement motivé, la défenderesse reproche à la cour cantonale de ne pas avoir confirmé le jugement du Tribunal des prud'hommes en ce qu'il lui allouait les sommes brutes de 1'003 fr. et 1'275 fr. à titre de vacances prises en trop et de salaire pour son absence du 29 août au 2 septembre 2002, qui n'aurait en réalité pas été motivée par une maladie.</w:t>
      </w:r>
    </w:p>
    <w:p>
      <w:r>
        <w:rPr>
          <w:b/>
        </w:rPr>
        <w:t>E. 5.1</w:t>
      </w:r>
    </w:p>
    <w:p>
      <w:r>
        <w:t>Sur le premier point, la cour cantonale a considéré que le demandeur avait droit à vingt jours de vacances par année. Dès lors que le contrat de travail s'était terminé le 31 décembre 2002, le demandeur pouvait prétendre à l'entier de ses vacances pour 2002. Or, selon la défenderesse, il avait pris vingt jours de congé entre le 1er janvier et le 31 octobre 2002, de sorte qu'il n'avait pas excédé son droit aux vacances en 2002. L'argument de la défenderesse, qui repose sur l'hypothèse de la confirmation de la validité de la résiliation immédiate pour justes motifs au 31 octobre 2002, n'a plus raison d'être dans la mesure où il a finalement été admis que la résiliation immédiate était injustifiée, de sorte que le demandeur bénéficiait de son droit aux vacances jusqu'à l'échéance normale de son contrat, le 31 décembre 2002.</w:t>
      </w:r>
    </w:p>
    <w:p>
      <w:r>
        <w:rPr>
          <w:b/>
        </w:rPr>
        <w:t>E. 5.2.1</w:t>
      </w:r>
    </w:p>
    <w:p>
      <w:r>
        <w:t>Concernant le second point, les juges cantonaux ont considéré qu'il était établi que le demandeur avait accompagné à Paris son amie qui devait subir une intervention chirurgicale à la rétine du 29 août au 2 septembre 2002. Bien qu'il n'ait pas produit de certificat médical, le demandeur soutenait qu'il était malade et n'aurait de toute façon pas pu travailler. Dans ces circonstances, l'absence en cause ne saurait être tenue pour fautive. Il ne ressortait pas du dossier que la défenderesse exigeait un certificat médical dès le premier jour d'incapacité de travail, ni qu'elle exigeait la compensation du temps pour les congés usuels ou l'imputait sur le salaire de l'employé. Tant le demandeur que B.________ jouissaient d'une grande liberté dans l'organisation de leur temps de travail. Dans ces circonstances, il n'y avait pas lieu d'astreindre le demandeur au remboursement de la rétribution touchée pendant son déplacement à Paris.</w:t>
      </w:r>
    </w:p>
    <w:p>
      <w:r>
        <w:rPr>
          <w:b/>
        </w:rPr>
        <w:t>E. 5.2.2</w:t>
      </w:r>
    </w:p>
    <w:p>
      <w:r>
        <w:t>Selon l' art. 329 al. 3 CO in initio, l'employeur accorde au travailleur les heures et jours de congé usuels. Les parties tiennent équitablement compte des intérêts de l'employeur et du travailleur pour fixer les heures et jours de congé ( art. 329 al. 4 CO ). L'employeur doit, selon les circonstances, accorder au travailleur des congés pour rendre visite à des proches malades (arrêt 4C.459/1997 du 7 avril 1998, publié in JAR 1999 p. 232, consid. 3 p. 233 et les références citées; plus récemment Brunner/Bühler/Waeber/Bruchez, op. cit., n. 3 ad art. 329 CO ). La date et la durée des congés doivent être fixées en équité ( art. 4 CC ), selon les circonstances, en tenant compte, notamment, des besoins de l'employeur et du travailleur (arrêt 4C.459/1997 du 7 avril 1998, publié in JAR 1999 p. 232, consid. 3 p. 233 et les références citées). L' art. 329 CO n'oblige pas l'employeur à verser le salaire au travailleur en cas de congé au sens de cette disposition. Le salaire n'est dû qu'en vertu d'un accord ou de l'usage, selon l' art. 322 CO , ou en cas d'empêchement de travailler inhérent à la personne de l'intéressé, selon l' art. 324a CO (arrêt 4C.459/1997 du 7 avril 1998, publié in JAR 1999 p. 232, consid. 4 p. 234; plus récemment Wyler, Droit du travail, Berne 2002, p. 245; cf. également Brunner/Bühler/Waeber/Bruchez, op. cit., n. 3 ad art. 329 CO ). Selon l' art. 324a al. 1 CO , si le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w:t>
      </w:r>
    </w:p>
    <w:p>
      <w:r>
        <w:rPr>
          <w:b/>
        </w:rPr>
        <w:t>E. 5.2.3</w:t>
      </w:r>
    </w:p>
    <w:p>
      <w:r>
        <w:t>En l'occurrence, la cour cantonale a souverainement tenu pour établi que le demandeur avait été malade du 29 août au 2 septembre 2005, de sorte que la défenderesse, qui n'a pas contesté cette constatation de fait par le biais d'un recours de droit public, n'est pas fondée à présenter devant l'autorité fédérale de réforme une argumentation reposant sur la prémisse inverse. Dès lors qu'il en découle que l'absence du demandeur n'était pas fautive, son salaire lui était dû sur la base de l' art. 324a CO , ce qui exclut toute restitution.</w:t>
      </w:r>
    </w:p>
    <w:p>
      <w:r>
        <w:rPr>
          <w:b/>
        </w:rPr>
        <w:t>E. 6</w:t>
      </w:r>
    </w:p>
    <w:p>
      <w:r>
        <w:t>Il résulte des considérants qui précèdent que le recours doit être rejeté dans la mesure de sa recevabilité.</w:t>
      </w:r>
    </w:p>
    <w:p>
      <w:r>
        <w:rPr>
          <w:b/>
        </w:rPr>
        <w:t>E. 7</w:t>
      </w:r>
    </w:p>
    <w:p>
      <w:r>
        <w:t>Comme la valeur litigieuse, calculée selon la prétention à l'ouverture de l'action ( ATF 115 II 30 consid 5b p. 41), dépasse le seuil de 30'000 fr., la procédure n'est pas gratuite ( art. 343 al. 2 et 3 CO ). Compte tenu de l'issue du litige, les frais et dépens seront mis à la charge de la défenderesse, qui succombe (art. 156 al. 1 et 159 al. 1 OJ). L'intervenante, qui n'a pas formulé d'observations et n'est pas représentée par un avocat, ne sera pas prise en considération dans la répartition des frais et dépens (cf. arrêt 4C.98/2005 du 27 juillet 2005,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