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4C.297/2004 vom 9. Dezember 2004</w:t>
      </w:r>
    </w:p>
    <w:p>
      <w:r>
        <w:t>Bundesgericht, 2004-12-09, DE</w:t>
      </w:r>
    </w:p>
    <w:p>
      <w:r>
        <w:rPr>
          <w:b/>
        </w:rPr>
        <w:t xml:space="preserve">Quelle: </w:t>
      </w:r>
      <w:r>
        <w:t>https://mcp.opencaselaw.ch/entscheid/bger_4C.297_2004</w:t>
      </w:r>
    </w:p>
    <w:p>
      <w:r>
        <w:t>FR: TF 4C.297/2004 du 9 décembre 2004</w:t>
      </w:r>
    </w:p>
    <w:p>
      <w:r>
        <w:t>IT: TF 4C.297/2004 del 9 dicembre 2004</w:t>
      </w:r>
    </w:p>
    <w:p>
      <w:pPr>
        <w:pStyle w:val="Heading2"/>
      </w:pPr>
      <w:r>
        <w:t>Erwägungen</w:t>
      </w:r>
    </w:p>
    <w:p>
      <w:r>
        <w:rPr>
          <w:b/>
        </w:rPr>
        <w:t>E. 1.1</w:t>
      </w:r>
    </w:p>
    <w:p>
      <w:r>
        <w:t>Nach Art. 55 Abs. 1 lit. c OG ist in der Berufungsschrift anzugeben, welche Bundesrechtssätze der angefochtene Entscheid verletzt und inwiefern er gegen sie verstösst. Fehl am Platz sind dagegen Rügen der Verletzung von Verfassungsrecht ( Art. 43 Abs. 1 Satz 2 OG ) und Ausführungen, die sich in unzulässiger Weise gegen die tatsächlichen Feststellungen und gegen die Beweiswürdigung der Vorinstanz richten, es sei denn, es werden zugleich substanziierte Rügen im Sinne von Art. 63 Abs. 2 OG (offensichtliches Versehen) oder Art. 64 OG (unvollständige Ermittlung des Sachverhalts) erhoben ( Art. 55 Abs. 1 lit. c OG ; BGE 127 III 390 E. 1f S. 393; 126 III 59 E. 2a S. 65, je mit Hinweisen). Werden solche Ausnahmen geltend gemacht, so hat die Partei, welche den Sachverhalt berichtigt oder ergänzt wissen will, darüber genaue Angaben mit Aktenhinweisen zu machen. Unbeachtlich sind dagegen blosse Verweise auf die Akten; inwiefern das angefochtene Urteil Bundesrecht verletzt, ist in der Berufungsschrift selber darzulegen ( BGE 126 III 198 E. 1d).</w:t>
      </w:r>
    </w:p>
    <w:p>
      <w:r>
        <w:rPr>
          <w:b/>
        </w:rPr>
        <w:t>E. 1.2</w:t>
      </w:r>
    </w:p>
    <w:p>
      <w:r>
        <w:t>Aus dem Entscheid über die mit der vorliegenden Berufung konnexe staatsrechtliche Beschwerde geht hervor, dass die im Appellationsverfahren vertretenen Parteistandpunkte, wie sie im angefochtenen Urteil wiedergegeben sind, nicht in offensichtlichem Widerspruch zu den Angaben der Beklagten im Parteiverhör stehen, und es wurde zwischen den von der Vorinstanz dargestellten Parteivorbringen und den Tatsachenfeststellungen des Gerichts unterschieden. In der Berufung erheben die Kläger im gleichen Zusammenhang unter dem Titel "Vorbemerkung" Rügen der Aktenwidrigkeit ( Art. 63 Abs. 2 OG ). Indem sie in ihrer Rechtsschrift die beanstandeten Passagen nicht einzeln aufführen, sondern lediglich auf mehrere Seiten des angefochtenen Urteils hinweisen, genügen sie den Begründungsanforderungen von Art. 55 Abs. 1 lit. c OG nicht. Auf die betreffenden Ausführungen ist deshalb nicht einzutreten. Entsprechend verhält es sich mit der in diesem Zusammenhang ebenfalls erhobenen Rüge der Verletzung von Art. 8 ZGB , denn die Kläger geben nicht an, mit welchen prozesskonform angebotenen Beweisen zu welchen Tatsachen sie abgewiesen worden sind. Soweit sie geltend machen wollen, die Vorinstanz habe trotz Bestreitung ohne gehörigen Beweis auf Behauptungen der Gegenpartei abgestellt, kritisieren sie in Wirklichkeit die Sachverhaltsermittlung der Vorinstanz, womit sie im Berufungsverfahren nicht zu hören sind.</w:t>
      </w:r>
    </w:p>
    <w:p>
      <w:r>
        <w:rPr>
          <w:b/>
        </w:rPr>
        <w:t>E. 2</w:t>
      </w:r>
    </w:p>
    <w:p>
      <w:r>
        <w:t>Die Kläger werfen dem Appellationshof vor, bei der Auslegung der Freizeichnungsklausel Art. 18 OR verletzt zu haben.</w:t>
      </w:r>
    </w:p>
    <w:p>
      <w:r>
        <w:rPr>
          <w:b/>
        </w:rPr>
        <w:t>E. 2.1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130 III 417 E. 3.2 mit Hinweisen). Während das Bundesgericht die objektivierte Vertragsauslegung als Rechtsfrage prüfen kann, beruht die subjektive Vertragsauslegung auf Beweiswürdigung, welche der bundesgerichtlichen Überprüfung im Berufungsverfahren entzogen ist. Der Vorrang der empirischen oder subjektiven vor der normativen oder objektivierten Vertragsauslegung ergibt sich aus Art. 18 OR als Auslegungsregel. Die Verletzung dieses Grundsatzes kann deshalb mit der Berufung gerügt werden ( BGE 121 III 118 E. 4b/aa).</w:t>
      </w:r>
    </w:p>
    <w:p>
      <w:r>
        <w:rPr>
          <w:b/>
        </w:rPr>
        <w:t>E. 2.2</w:t>
      </w:r>
    </w:p>
    <w:p>
      <w:r>
        <w:t>Die Kläger rügen sinngemäss, die Vorinstanz habe den mit Bezug auf die Freizeichnungsklausel bestehenden übereinstimmenden tatsächlichen Willen der Parteien missachtet, stehe doch zweifelsfrei fest, dass diese von der sofortigen Überbaubarkeit der in der blauen Zone liegenden Teile der Parzelle ausgegangen seien. Der Vorbehalt in der Freizeichnungsklausel könne sich daher nach den übereinstimmenden Aussagen der Parteien nur auf die rote Parzelle bezogen haben. Für eine Auslegung nach dem Vertrauensprinzip bleibe kein Raum.</w:t>
      </w:r>
    </w:p>
    <w:p>
      <w:r>
        <w:t>Mit diesen Ausführungen setzen die Kläger fälschlicherweise Feststellungen über das (vermeintliche) Wissen der Parteien solchen über deren Wollen gleich. Dass die Parteien bei Vertragsschluss von übereinstimmenden Annahmen über die Überbaubarkeit ausgingen, bedeutet keineswegs, dass sie auch in ihrem Verständnis der Freizeichnungsklausel übereinstimmten. Dass die Beklagte das Risiko einer Verzögerung bei der Baubewilligung hätte übernehmen wollen, geht denn auch aus dem angefochtenen Urteil nicht hervor. Die Rüge der Verletzung des Vorrangs der subjektiven vor der objektiven Vertragsauslegung ist daher unbegründet.</w:t>
      </w:r>
    </w:p>
    <w:p>
      <w:r>
        <w:rPr>
          <w:b/>
        </w:rPr>
        <w:t>E. 3</w:t>
      </w:r>
    </w:p>
    <w:p>
      <w:r>
        <w:t>Nach Art. 197 in Verbindung mit Art. 221 OR haftet der Verkäufer eines Grundstücks dem Käufer sowohl für die zugesicherten Eigenschaften als auch dafür, dass die Sache nicht körperliche oder rechtliche Mängel habe, die ihren Wert oder ihre Tauglichkeit zu dem vorausgesetzten Gebrauche aufheben oder erheblich mindern. Er haftet auch dann, wenn er die Mängel nicht gekannt hat. Diese gesetzliche Gewährleistungsregelung ist dispositiver Natur. Die Gewährleistung kann von den Parteien eingeschränkt oder ausgeschlossen werden. Dass diese Regeln im vorliegenden Fall zur Anwendung gelangen, ist nicht umstritten. Streitig ist indes, welche Bedeutung der vertraglichen Klausel über den Haftungsausschluss nach Treu und Glauben beizumessen ist. Hiezu ist zunächst zu ermitteln, ob und in welchem Ausmass der geltend gemachte Mangel im massgeblichen Zeitpunkt (vgl. dazu Art. 220 OR ; Giger, Berner Kommentar, N. 42 zu Art. 197 OR ; Schumacher/Rüegg, in: Alfred Koller [Hrsg.], Der Grundstückkauf, 2. Aufl., Bern 2001, Rz. 162 S. 230 f.) tatsächlich vorhanden war. In dieser Hinsicht steht für das Bundesgericht verbindlich fest ( Art. 63 Abs. 2 OG ), dass die Überbaubarkeit bei Erlass des angefochtenen Urteils noch nicht gegeben war, dass aber auf dem Grundstück demnächst gebaut werden kann. Entgegen der Meinung der Kläger liegt der Mangel somit nicht in der fehlenden, sondern in der verzögerten Überbaubarkeit.</w:t>
      </w:r>
    </w:p>
    <w:p>
      <w:r>
        <w:rPr>
          <w:b/>
        </w:rPr>
        <w:t>E. 4.1</w:t>
      </w:r>
    </w:p>
    <w:p>
      <w:r>
        <w:t>Zu prüfen bleibt, ob die Vorinstanz zu Recht geschlossen hat, Verzögerungen bei der Baubewilligung würden nach Treu und Glauben von der Gewährleistungsausschlussklausel erfasst (vgl. den zur Veröffentlichung bestimmten Bundesgerichtsentscheid 4C.242/2004 vom 6. Oktober 2004 E. 4.3; BGE 126 III 59 E. 5a; 109 II 24 E. 4).</w:t>
      </w:r>
    </w:p>
    <w:p>
      <w:r>
        <w:rPr>
          <w:b/>
        </w:rPr>
        <w:t>E. 4.2</w:t>
      </w:r>
    </w:p>
    <w:p>
      <w:r>
        <w:t>Dass die Vorinstanz die von der Rechtsprechung entwickelten Grundlagen objektivierter Auslegung von Klauseln über den Gewährleistungsausschluss verkannt hätte, machen die Kläger zu Recht nicht geltend. Danach fällt ein Mangel dann nicht unter den Gewährleistungsausschluss, wenn er gänzlich ausserhalb dessen liegt, womit ein Käufer vernünftigerweise rechnen muss. Ob dies der Fall ist, hängt von den konkreten Umständen des Einzelfalls ab ( BGE 126 III 59 E. 4a; 107 II 161 E. 6c/d S. 164 mit Hinweisen; vgl. dazu auch Giger, a.a.O., N. 10 zu Art. 199 OR ). Es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72 II 267 E. 3 S. 269; vgl. auch das Urteil 4C.273/1995 vom 1. November 1995, E. 4a, abgedruckt in ZBGR 77/1996 S. 330 ff.). Damit ein Mangel von einer allgemein formulierten Freizeichnungsklausel nicht erfasst wird, genügt es nicht, dass er unerwartet ist; er muss auch den wirtschaftlichen Zweck des Geschäfts erheblich beeinträchtigen (zit. Bundesgerichtsurteil vom 1. November 1995, a.a.O., E. 4a). Dabei ist im Rahmen einer gesamthaften Beurteilung festzustellen, ob der Käufer mit den Mängeln einer bestimmten Art im vorhandenen Ausmass rechnen musste (zur Veröffentlichung bestimmter Entscheid 4C.242/2004 E. 4.3.1 mit ausführlicher Darstellung der Rechtsprechung).</w:t>
      </w:r>
    </w:p>
    <w:p>
      <w:r>
        <w:rPr>
          <w:b/>
        </w:rPr>
        <w:t>E. 4.3</w:t>
      </w:r>
    </w:p>
    <w:p>
      <w:r>
        <w:t>Nach Auffassung der Vorinstanz ist mit Blick auf einen Haftungsausschluss der Verkäufer die Erklärung der Käuferschaft von besonderer Bedeutung, dass ihr die geltende Zoneneinteilung der Vertragssache bekannt sei, ebenso wie die Gefahrenkarte der Gemeinde A.________ und der Umstand, dass die Vertragssache in der Gefahrenzone B.________ liege. Dieser Satz enthalte einen individualisierten, auf die planerische Situation im Umfeld des Vertragsverhältnisses konkret zugeschnittenen Haftungsausschluss. Selbst wenn nach Auskunft der Gemeindebehörden in der blauen Zone sofort gebaut werden konnte, habe allein die Tatsache, dass sich das Grundstück in der blauen und in der roten Gefahrenzone befunden habe, aufgrund des Wortes "Gefahr" gewisse Bedenken wecken müssen. Vor diesem Hintergrund habe das Fehlen der sofortigen Überbaubarkeit nicht gänzlich ausserhalb dessen gelegen, womit ein Käufer vernünftigerweise zu rechnen habe. Indem die Kläger, ohne den Zonenplan je eingesehen zu haben, erklärt hätten, die Zoneneinteilung sei ihnen bekannt, hätten sie das Risiko der fehlenden Genehmigung und des Zeitpunkts der Bebaubarkeit auf sich genommen. Mit Bezug auf den wirtschaftlichen Zweck des Kaufvertrages erwog die Vorinstanz, die Kläger hätten beabsichtigt, auf dem gekauften Land ein (zweites) Ferienhaus zu erstellen. Diesen privaten Zweck habe der geltend gemachte Mangel nicht vereitelt, sondern nur verzögert, weil die Genehmigung als Bauland absehbar sei und mit grösster Wahrscheinlichkeit in naher Zukunft auf der Parzelle gebaut werden könne. Zwar habe die sofortige Bebaubarkeit einen für die Käufer subjektiv wesentlichen Vertragspunkt gebildet. Sie sei aber weder von der Verkäuferschaft zugesichert noch verurkundet worden, weshalb sie nach dem Vertrauensprinzip von der Klausel über den Ausschluss der Gewährleistung erfasst worden sei.</w:t>
      </w:r>
    </w:p>
    <w:p>
      <w:r>
        <w:rPr>
          <w:b/>
        </w:rPr>
        <w:t>E. 4.4</w:t>
      </w:r>
    </w:p>
    <w:p>
      <w:r>
        <w:t>Inwiefern diese Auslegung Bundesrecht verletzen soll, ist nicht ersichtlich, zumal die Vorinstanz auch zutreffend erkannt hat, dass es sich nicht um eine bloss allgemein formulierte Freizeichnungsklausel handelt. Was die Kläger in der Berufung für ihren gegenteiligen Standpunkt vorbringen, erschöpft sich weitgehend in unzulässiger allgemein gehaltener Kritik am angefochtenen Urteil, als ob dem Bundesgericht im Berufungsverfahren freie Tatsachen- und Rechtsprüfung zukäme. So geht entgegen der Behauptung der Kläger aus dem angefochtenen Urteil nicht hervor, dass es nicht zum Vertragsschluss gekommen wäre, wenn Zweifel an der sofortigen Bebaubarkeit bestanden hätten. Dass die Vorinstanz mit Bezug auf die Tragweite, welche die Parteien der Freizeichnungsklausel beimassen, keinen übereinstimmenden Willen festgestellt hat, wurde bereits erörtert, und aus dem Urteil über die konnexe staatsrechtliche Beschwerde ergibt sich, dass die Vorinstanz betreffend die bevorstehende Überbaubarkeit des Grundstücks eine für das Bundesgericht verbindliche Tatsachenfeststellung getroffen hat. Unklar ist schliesslich, inwiefern die Kläger aus dem Umstand, dass beide Parteien von der sofortigen Bebaubarkeit der blauen Zone ausgingen, eine Verletzung der Art. 184 und 216 OR ableiten wollen. Weder kann daraus auf eine entsprechende Zusicherung der Käufer geschlossen werden noch ist damit etwas darüber ausgesagt, wer dafür einstehen muss, wenn sich die Erwartung der Parteien als trügerisch erweist. Die Auslegung der Freizeichnungsklausel durch die Vorinstanz hält daher vor Bundesrecht stand.</w:t>
      </w:r>
    </w:p>
    <w:p>
      <w:r>
        <w:rPr>
          <w:b/>
        </w:rPr>
        <w:t>E. 5</w:t>
      </w:r>
    </w:p>
    <w:p>
      <w:r>
        <w:t>Die Vorinstanz hat zutreffend und insoweit unangefochten erkannt, dass die Berufung auf Grundlagenirrtum versagt, wenn der Irrtum mit fehlenden Eigenschaften der Kaufsache begründet wird, für welche der Verkäufer die Gewährleistung wegbedungen hat ( BGE 126 III 59 E. 3; zit. Bundesgerichtsurteil 4C.456/1999 vom 16. März 2000 E. 3c; BGE 91 II 275 E. 2b S. 279). Unter diesen Umständen braucht auf die Einwände der Kläger gegen die Art und Weise der Verwendung des Begriffs "Bauland" durch die Vorinstanz nicht eingegangen zu werden.</w:t>
      </w:r>
    </w:p>
    <w:p>
      <w:r>
        <w:rPr>
          <w:b/>
        </w:rPr>
        <w:t>E. 6</w:t>
      </w:r>
    </w:p>
    <w:p>
      <w:r>
        <w:t>Aus diesen Gründen ist die Berufung abzuweisen, soweit darauf einzutreten ist.</w:t>
      </w:r>
    </w:p>
    <w:p>
      <w:r>
        <w:t>Dem Verfahrensausgang entsprechend ist die Gerichtsgebühr den Klägern unter solidarischer Haftung aufzuerlegen ( Art. 156 Abs. 1 und 7 OG ). Diese haben die Beklagte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