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4C.292/2000 vom 21. Dezember 2000</w:t>
      </w:r>
    </w:p>
    <w:p>
      <w:r>
        <w:t>Bundesgericht, 2000-12-21, DE</w:t>
      </w:r>
    </w:p>
    <w:p>
      <w:r>
        <w:rPr>
          <w:b/>
        </w:rPr>
        <w:t xml:space="preserve">Quelle: </w:t>
      </w:r>
      <w:r>
        <w:t>https://mcp.opencaselaw.ch/entscheid/bger_4C.292_2000</w:t>
      </w:r>
    </w:p>
    <w:p>
      <w:r>
        <w:t>FR: TF 4C.292/2000 du 21 décembre 2000</w:t>
      </w:r>
    </w:p>
    <w:p>
      <w:r>
        <w:t>IT: TF 4C.292/2000 del 21 dicembre 2000</w:t>
      </w:r>
    </w:p>
    <w:p>
      <w:pPr>
        <w:pStyle w:val="Heading2"/>
      </w:pPr>
      <w:r>
        <w:t>Regeste</w:t>
      </w:r>
    </w:p>
    <w:p>
      <w:r>
        <w:t>Wertpapierrecht</w:t>
      </w:r>
    </w:p>
    <w:p>
      <w:pPr>
        <w:pStyle w:val="Heading2"/>
      </w:pPr>
      <w:r>
        <w:t>Erwägungen</w:t>
      </w:r>
    </w:p>
    <w:p>
      <w:r>
        <w:rPr>
          <w:b/>
        </w:rPr>
        <w:t>E. 2</w:t>
      </w:r>
    </w:p>
    <w:p>
      <w:r>
        <w:t>a) Mit Berufung kann grundsätzlich nur die Verletzung schweizerischen Bundesrechts gerügt werden unter Einschluss der vom Bund abgeschlossenen völkerrechtlichen Verträge ( Art. 43 Abs. 1 OG ). Mit Deutschland, Italien und der Schweiz haben sämtliche Rechtsordnungen, die mit dem zu beurteilenden Check in einem Zusammenhang stehen könnten, die Genfer Checkrechtskonventionen unterzeichnet (vgl. SR 0.221. 555.1 ff.). Gemäss Artikel I des Abkommens über das einheitliche Checkgesetz (SR 0.221. 555.1) kommt diese Konvention indes nicht direkt zur Anwendung. Die Konventionsmitglieder sind lediglich verpflichtet, die vereinbarten Normen unter Berücksichtigung allfälliger Vorbehalte in die innerstaatliche Rechtsordnung zu überführen. Für die Gerichte ist damit die innerstaatliche Regelung massgebend und nicht unmittelbar das Übereinkommen (Quassowski/Albrecht, Scheckgesetz, Berlin 1934, Einleitung S. XV; vgl. auch Marthe Depitre-Sébilleau in Hamel/Ancel [Hrsg. ], La convention de Genève sur l'unification du droit du Chèque, Paris 1937, S.135; Daniel Staehelin, Basler Kommentar, N. 2 Vorbemerkungen zu Art. 1138-1142 OR sowie N. 2 Vorbemerkungen zu Art. 1086-1095 OR ; zum analogen Problem im Wechselrecht vgl. Schnitzer, Handbuch des Internationalen Handels-, Wechsel- und Checkrechts, S. 371 ff.). Da die Konvention über das einheitliche Checkgesetz nicht direkt zur Anwendung gelangt (non self-executing treaty), kann mit Berufung keine Verletzung des Abkommens als solchen gerügt werden (vgl. Schnitzer, a.a.O.). b) Gemäss Art. 43a Abs. 2 OG überprüft das Bundesgericht die Anwendung ausländischen Rechts nur in nicht vermögensrechtlichen Streitigkeiten. In vermögensrechtlichen Streitigkeiten kann lediglich gerügt werden, die kantonale Instanz habe ausländisches Recht nicht angewendet oder zu Unrecht festgestellt, die Ermittlung des ausländischen Rechts sei nicht möglich ( Art. 43a Abs. 1 OG ). Dass das ausländische Recht allenfalls materiell gleich lautet, ändert an der Überprüfungsbefugnis des Bundesgerichts nichts. c) Im Entscheid des Zivilgerichts, auf den das Appellationsgericht teilweise verweist, wird neben den schweizerischen Bestimmungen jeweils die entsprechende Regelung im deutschen Recht angeführt, der Anspruch der Klägerin mithin nach beiden Rechten geprüft und die Frage des anwendbaren Rechts offen gelassen. Dies ist zulässig, soweit die betreffenden Regeln materiell übereinstimmen (Schnyder, Die Anwendung des zuständigen fremden Sachrechts im internationalen Privatrecht, Zürich 1981, S. 20 ff. sowie S. 255 f.) und die Überprüfung des ausländischen Rechts im dafür vorgesehenen Rahmen nicht vereitelt wird ( BGE 100 II 34 E. 5 S. 40 ff.). Hat das kantonale Gericht neben dem schweizerischen alternativ ausländisches Recht angewendet, ist dessen Verletzung in vermögensrechtlichen Streitigkeiten mit staatsrechtlicher Beschwerde geltend zu machen. In der Berufung tritt das Bundesgericht auf entsprechende Rügen nicht ein. In solchen Fällen muss aber aus dem angefochtenen Entscheid ersichtlich sein, wie die kantonale Instanz das massgebende Recht angewendet hat, um die Überprüfung im Rahmen der staatsrechtlichen oder einer allfälligen kantonalen Beschwerde zu ermöglichen. Andernfalls ist eine Rückweisung unumgänglich ( BGE 126 III 492 E. 3c/aa S. 495; 100 II 34 E. 5 S. 40 ff.). d) Mit der Ratifikation der Checkrechtskonvention verpflichtete sich die Schweiz nicht nur, die Konventionsbestimmungen in ihrem Gebiet einzuführen, sondern auch, sie im Geiste des Abkommens anzuwenden (vgl. zur analogen Regelung im Wechselrecht BGE 90 II 121 E. 2 S. 124). Soweit die Vorschriften materiell übereinstimmen, sind sie einheitlich auszulegen, weshalb der Hinweis auf die entsprechenden Normen im ausländischen Recht, wie er sich im Urteil des Zivilgerichts findet, genügt. Unter diesen Umständen schadet es den Parteien nicht, wenn sie zur Frage des anwendbaren Rechts nicht ausdrücklich Stellung nehmen, da das Bundesgericht in der Berufung von Amtes wegen prüft, welches Recht anzuwenden ist ( BGE 118 II 83 E. 2b S. 85). Es prüft den Sachverhalt in Bezug auf das tatsächlich anwendbare Recht in dem in der Berufung zulässigen Rahmen. Auf die weiteren Vorbringen tritt es nicht ein. Aus BGE 115 II 300 E. 2 S. 302, in dem verlangt wurde, es müssten die Alternativbegründungen nach beiden Rechtsordnungen angefochten werden, kann nichts anderes abgeleitet werden. Dort war die Anwendbarkeit des ausländischen Rechts unbestritten, während sich die Berufung nur auf das nicht anwendbare schweizerische Recht bezog, an dessen Überprüfung kein Rechtsschutzinteresse bestand.</w:t>
      </w:r>
    </w:p>
    <w:p>
      <w:r>
        <w:rPr>
          <w:b/>
        </w:rPr>
        <w:t>E. 3</w:t>
      </w:r>
    </w:p>
    <w:p>
      <w:r>
        <w:t>Die Klägerin hat der Ausstellerin den Checkbetrag freiwillig ohne Anerkennung einer Rechtspflicht zurückerstattet. Im Umfang der Rückerstattung verlangt sie von der Beklagten Schadenersatz. Einen ersatzfähigen Schaden hat sie indes nur erlitten, wenn sie zur Rückerstattung an die Ausstellerin verpflichtet war. a) Die Möglichkeit des Bankkunden, Checks auszustellen, beruht auf einer Vereinbarung zwischen dem Bankkunden und der bezogenen Bank, dem Checkvertrag (vgl. zur Natur des Checkvertrages Meier-Hayoz/von der Crone, Wertpapierrecht, 2. Auflage, Bern 2000, S. 222; Ruth Erika Habicht, Der Checkvertrag und das Checkrecht, Winterthur 1956, S. 31 ff.; Baumbach/Hefermehl, Wechselgesetz und Scheckgesetz, 21. Auflage, München 1999, N. 3 zu SchG Art. 3; Bülow, Wechselgesetz Scheckgesetz Allgemeine Geschäftsbedingungen 2. Auflage, Heidelberg 1995 N. 3 zu Art. 3 ScheckG). Mit dem Checkvertrag verpflichtet sich die bezogene Bank, Checks der Ausstellerin unter gewissen Voraussetzungen zu honorieren. Bei der Entgegennahme des Checks hat sie die Lückenlosigkeit der Indossamentenkette zu prüfen und gegebenenfalls die Auszahlung zu verweigern. Kommt sie dieser Pflicht nicht nach, muss sie für den dadurch entstandenen Schaden einstehen (Meier-Hayoz/von der Crone, a.a.O. S. 224; Ruth Erika Habicht, a.a.O. S. 40). b) Eine Rückerstattungspflicht gegenüber der Ausstellerin traf die Klägerin nur, wenn sie nach dem Checkvertrag nicht berechtigt war, den Check zu honorieren, wenn sie mithin ihre checkvertraglichen Pflichten verletzt hat (vgl. Vieli, die Rechtsfolgen des Checkverlusts nach schweizerischem und nach französischem Recht, Zürich 1954, S. 91 f.). Dies bestimmt sich zunächst nach den zwischen der Klägerin und der Ausstellerin getroffenen Vereinbarungen im Checkvertrag und dem darauf anwendbaren Recht. c) In der Lehre wird die Ansicht vertreten, der Umfang der Prüfungspflicht richte sich nicht nach dem Checkvertrag, da die Ausstellerin auf die Prüfung der Lückenlosigkeit im Interesse des Verkehrsschutzes nicht gültig verzichten könne (vgl. Brigitte von der Crone-Schmocker, Das Checkinkasso und Checktruncation, Zürich 1986, S. 51). Damit wäre zu prüfen, nach welchem Recht sich die checkrechtliche Prüfungspflicht der bezogenen Bank bestimmt. aa) Der Begriff der Lückenlosigkeit ist nicht eindeutig. So entschied das Bundesgericht zum alten Wechselrecht, bei der Prüfung der Indossamentenkette sei allein auf die räumliche Abfolge von oben nach unten abzustellen ( BGE 26 II 685 E. 4 S. 691 f.). In der Lehre wird demgegenüber die Meinung vertreten, unter gewissen Umständen könnten neben der räumlichen Abfolge für die Bestimmung der Reihenfolge der Indossamente noch andere Hinweise wie zum Beispiel die Datierung berücksichtigt werden (Bülow, a.a.O. N. 7 zu Art. 16 WG ; Baumbach/Hefermehl, a.a.O. N. 3 lit. d zu Art. 16 WG ). Ferner wird teilweise die Indossamentenkette bei unklarer zeitlicher Abfolge zumindest dann als lückenlos angesehen, wenn sie in den verschiedenen denkbaren Lesarten denselben Berechtigten ausweist (vgl. Jacobi, Wechsel und Scheckrecht, Berlin 1955, S. 47). Diese Auffassung hätte Konsequenzen für den zu beurteilenden Fall. Auch nach den Ausführungen der Klägerin erscheint nämlich die Beklagte, wenn nur die Indossamentenreihe bis zum behaupteten Unterbruch betrachtet wird, als berechtigt, und die Reihe der Indossamente geht nicht gültig über die Beklagte hinaus (vgl. Baumbach/Hefermehl, a.a.O. N. 3 lit. d zu Art. 16 WG ). Das Bundesgericht hat die Gültigkeit "unvollständiger" Indossamentenketten ebenfalls in Erwägung gezogen, solange zweifelsfrei ersichtlich ist, wer am Wertpapier berechtigt ist ( BGE 41 II 743 E. 3 S. 747; vgl. auch Chaput, Effets de commerce, chèques et instruments de paiement, Paris 1992, S. 96, wonach offensichtliche Irrtümer generell die Indossamentenkette nicht unterbrechen). Daher ist zu prüfen, nach welchem Recht sich bestimmt, ob neben der räumlichen auch andere Komponenten zu berücksichtigen sind und welcher Zeitpunkt für die Frage der Lückenlosigkeit ausschlaggebend ist. bb) Grundsätzlich entscheidet die Ausstellerin, ob ihr Check durch Indossament übertragbar ist. Durch eine negative Orderklausel kann sie die Übertragbarkeit durch Indossament verhindern. Ist für die Möglichkeit der Übertragung durch Indossament die Art der Ausstellung des Checks ausschlaggebend, erscheint es folgerichtig, auch in Bezug auf die Anforderungen an die Lückenlosigkeit der Indossamentenkette auf die Ausstellung als solche abzustellen. Ob eine Kette lückenlos ist, beurteilt sich daher nach dem Recht des Ortes, an dem die Ausstellerin den Check unterzeichnet hat ( Art. 1140 OR vgl. auch Art. 5 des Übereinkommens über die Bestimmungen auf dem Gebiete des internationalen Checkprivatrechts [SR 0.221. 555.2]). Checkrechtlich konsequenter wäre es zwar, auch die Frage der Lückenlosigkeit für jedes Indossament gesondert zu beantworten, indem jedes Indossament gemäss dem Recht des Ortes, an dem es unterzeichnet wurde, einen gültigen Anschluss zum vorhergehenden schaffen müsste. Diese Lösung ist jedoch nicht praktikabel, da sie die Kenntnis der Reihenfolge der Indossamente voraussetzt, und daher zur Beantwortung der Frage, nach welchem Recht diese Reihenfolge zu bestimmen ist, nicht taugt. Die Reihenfolge gestaltet sich nicht unbedingt gleich, je nach dem, ob man sie allein nach der räumlichen Abfolge oder unter Berücksichtigung weiterer Umstände festsetzt. d) Dass der Checkvertrag zwischen der Ausstellerin und der Klägerin schweizerischem Recht unterstehe, behauptet die Klägerin nicht. Da die Ausstellung des Checks in Hamburg erfolgte, wo überdies der Zahlungsort liegt, führt auch eine checkrechtliche Betrachtung zur Anwendung deutschen Rechts. Die Anforderungen an die Lückenlosigkeit der Indossamentenkette sowie der Zeitpunkt, in dem diese Lückenlosigkeit gegeben sein muss, beurteilen sich somit nicht nach schweizerischem Recht, weshalb das Zivilgericht denn auch auf die Regelung im deutschen Recht verwies. Dessen Anwendung kann das Bundesgericht wie dargelegt nicht überprüfen, auch nicht in Anwendung von Art. 65 OG , da diese Bestimmung nur greift, wenn die kantonalen Gerichte das ausländische Recht nicht angewendet haben. Insoweit ist auf die Berufung nicht einzutreten.</w:t>
      </w:r>
    </w:p>
    <w:p>
      <w:r>
        <w:rPr>
          <w:b/>
        </w:rPr>
        <w:t>E. 4</w:t>
      </w:r>
    </w:p>
    <w:p>
      <w:r>
        <w:t>Die Klägerin beanstandet weiter die vom Appellationsgericht vorgenommene Beweislastverteilung bezüglich des Zustands des Checks im Zeitpunkt der Einreichung bei der Beklagten. a) Mit der Entgegennahme des Checks trat die Klägerin in eine vertragliche Beziehung zur Beklagten. Vor diesem Hintergrund ist der verlangte Schadenersatz zu beurteilen. Die Klägerin macht geltend, die Beklagte habe mit dem Stempel "Prior endorsements guaranteed" die Lückenlosigkeit der Indossamentenkette bestätigt, sei aber ihren entsprechenden Prüfungspflichten nicht hinreichend nachgekommen. b) Das interne Verhältnis zwischen der Einreicherbank und der Bezogenen untersteht nicht dem Checkrecht. Nach schweizerischem Recht wäre es wohl als Auftrag zu qualifizieren (Jäggi/Druey/Greyerz, Wertpapierrecht, Basel 1985, S. 292). Gemäss Art. 117 IPRG richtet es sich damit grundsätzlich nach dem Recht des Staates, in welchem der Erbringer der charakteristischen Leistung seinen Wohnsitz hat. Im Rahmen auftragsähnlicher Verhältnisse ist dies regelmässig der Wohnsitz des Beauftragten, vorliegend also der Klägerin. Daran ändert sich auch dann nichts, wenn der Beklagten, wie die Klägerin behauptet, eine Prüfungspflicht obliegt, handelt es sich doch dabei gegebenenfalls um eine Nebenpflicht und nicht um die charakteristische Leistung (zu den Verpflichtungen der bezogenen Bank gegenüber der Einreicherbank vgl. Jäggi/Druey/Greyerz, a.a.O. S. 293). Daher beurteilt sich nach deutschem Recht, ob die Beklagte analog zu Art. 4 der Konvention XIII der Schweizerischen Bankiervereinigung, welche den Gebrauch des von der Beklagten verwendeten Inkassostempels regelt, verpflichtet war, die Indossamentenkette an Stelle der Klägerin zu überprüfen, obwohl diese die Konvention nicht unterzeichnet hat, oder ob die Beklagte allenfalls gegen die Inkassorichtlinien der Internationalen Handelskammer, auf die sie ausdrücklich verwiesen hat, verstossen hat (zur Geltung allgemeiner Geschäftsbedingungen unter Banken vgl. das Urteil des BGH 108, 354 S. 362). Ebenfalls nach deutschem Recht entscheidet sich damit, wie die Beweislast zu verteilen ist, zumal die Beweislastverteilung wie dargelegt auch vom Gegenstand und Umfang der Prüfungspflicht abhängt. c) Nach dem auf das Vertragsverhältnis zwischen den Parteien anwendbaren Recht bestimmt sich auch die Tragweite der Formulierung im untersten Stempel "Prior endorsements guaranteed". Die Klägerin anerkennt in der Berufung, dass diesem Stempel keine checkrechtliche Übertragungswirkung zukommt. Wie das Appellationsgericht zu Recht festhält, zirkulieren Wertpapiere nach Anbringen des Inkassostempels nicht mehr wertpapierrechtlich (Brigitte von der Crone-Schmocker, a.a.O. S. 85), weshalb nicht das Recht des Ortes, an dem die Erklärung abgegeben wurde ( Art. 1140 OR ), zur Anwendung gelangt, sondern das Recht des Staates, in welchem die Partei, welche die charakteristische Leistung erbringt, ihren Sitz hat ( Art. 117 IPRG ).</w:t>
      </w:r>
    </w:p>
    <w:p>
      <w:r>
        <w:rPr>
          <w:b/>
        </w:rPr>
        <w:t>E. 5</w:t>
      </w:r>
    </w:p>
    <w:p>
      <w:r>
        <w:t>Sämtliche Streitpunkte richten sich nach deutschem Recht. Wenngleich der Frage des anwendbaren Rechts infolge der Rechtsvereinheitlichung materiell keine Bedeutung zukommt, kann das Bundesgericht im Rahmen der Berufung den angefochtenen Entscheid nicht überprüfen. Auf die Berufung ist daher nicht einzutreten. Bei diesem Ausgang des Verfahrens hat die Klägerin die Gerichtskosten zu tragen und der Beklagten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