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4C.288/2001 vom 16. Januar 2002</w:t>
      </w:r>
    </w:p>
    <w:p>
      <w:r>
        <w:t>Bundesgericht, 2002-01-16, DE</w:t>
      </w:r>
    </w:p>
    <w:p>
      <w:r>
        <w:rPr>
          <w:b/>
        </w:rPr>
        <w:t xml:space="preserve">Quelle: </w:t>
      </w:r>
      <w:r>
        <w:t>https://mcp.opencaselaw.ch/entscheid/bger_4C.288_2001</w:t>
      </w:r>
    </w:p>
    <w:p>
      <w:r>
        <w:t>FR: TF 4C.288/2001 du 16 janvier 2002</w:t>
      </w:r>
    </w:p>
    <w:p>
      <w:r>
        <w:t>IT: TF 4C.288/2001 del 16 gennaio 2002</w:t>
      </w:r>
    </w:p>
    <w:p>
      <w:pPr>
        <w:pStyle w:val="Heading2"/>
      </w:pPr>
      <w:r>
        <w:t>Regeste</w:t>
      </w:r>
    </w:p>
    <w:p>
      <w:r>
        <w:t>Vertragsrecht</w:t>
      </w:r>
    </w:p>
    <w:p>
      <w:pPr>
        <w:pStyle w:val="Heading2"/>
      </w:pPr>
      <w:r>
        <w:t>Erwägungen</w:t>
      </w:r>
    </w:p>
    <w:p>
      <w:r>
        <w:rPr>
          <w:b/>
        </w:rPr>
        <w:t>E. 1</w:t>
      </w:r>
    </w:p>
    <w:p>
      <w:r>
        <w:t>Der Beklagte hält auch vor Bundesgericht daran fest, dass für den Werkvertrag die Schriftform vorbehalten worden sei. Er wirft dem Kantonsgericht in diesem Zusammenhang eine Verletzung von Art. 16 Abs. 1 OR und Art. 1 ff. OR vor. Zur Begründung macht er geltend, das Kantonsgericht habe rechtsirrtümlich angenommen, dass auch der Vorbehalt der Schriftform von der Willenseinigung der Parteien erfasst sein müsse. Wie sich aus der vom Beklagten selbst zitierten Lehre und Rechtsprechung ergibt, wird allgemein angenommen, dass der Vertrag nicht zustande kommt, wenn sich die Parteien zwar über die wesentlichen Vertragselemente, nicht aber darüber einig sind, ob er in mündlicher oder schriftlicher Form gültig sein soll (von Tuhr/Peter, Schweiz. Obligationenrecht, Allg. Teil, Bd. I, Zürich 1979, S. 244 f.; Keller/Schöbi, Das Schweiz. Schuldrecht, Bd. I, Allgemeine Lehren des Vertragsrechts, 3. Aufl. , Basel 1988, S. 26 f.; Engel, Traité des obligations en droit suisse: dispositions générales du CO, 2. Aufl. , Bern 1997, S. 258; Schmidlin, Berner Kommentar, N. 10 f. zu Art. 16 OR ; BGE 105 II 75 E. 1; 54 II 300 E. 2). Erforderlich ist mithin ein Konsens sowohl über den Inhalt wie über die Form. Der Beklagte weist an sich zutreffend darauf hin, dass ein Formvorbehalt einseitig erfolgen kann. Das steht indes nicht im Widerspruch mit den Erwägungen der Vorinstanz, die zum Ergebnis gekommen ist, dass der Beklagte den Formvorbehalt im Lauf der Vertragsverhandlungen fallen gelassen hat. Die rechtliche Grundlage, auf welche die Vorinstanz ihren Entscheid abgestellt hat, ist demnach nicht zu beanstanden. In tatsächlicher Hinsicht ist sie zum Ergebnis gekommen, die Parteien seien sich im Zeitpunkt des Vertragsschlusses einig gewesen, dass der Werkvertrag entgegen dem ursprünglichen Vorbehalt des Beklagten in mündlicher Form gültig abgeschlossen werde. Auf diese tatsächliche Willensübereinstimmung schliesst die Vorinstanz aus bestimmten Umständen und Indizien. Was der Beklagte mit der Berufung dagegen vorbringt, ist nicht zu hören, da die tatsächliche Willensübereinstimmung eine Tatfrage betrifft und zudem Kritik an der Beweiswürdigung der Vorinstanz im Berufungsverfahren unzulässig ist ( BGE 126 III 375 E. 2e/aa mit Hinweisen; 118 II 365 ff.). Die Rüge einer Verletzung von Art. 16 Abs. 1 OR und Art. 1 ff. OR erweist sich somit als unbegründet, soweit auf sie eingetreten werden kann.</w:t>
      </w:r>
    </w:p>
    <w:p>
      <w:r>
        <w:rPr>
          <w:b/>
        </w:rPr>
        <w:t>E. 2</w:t>
      </w:r>
    </w:p>
    <w:p>
      <w:r>
        <w:t>Im angefochtenen Urteil wird für das Bundesgericht verbindlich festgestellt ( Art. 63 Abs. 2 OG ), dass die Parteien neben dem Werkvertrag auch einen Kaufvertrag über eines der zu errichtenden Häuser und einen überdeckten Autoabstellplatz abschliessen wollten. In rechtlicher Hinsicht führt das Kantonsgericht aus, die beiden Verträge seien als zusammengesetzte Verträge zu qualifizieren, welche nach dem Willen der Parteien zwei an sich selbständige Verträge in der Weise verkoppelten, dass sich diese wie Leistung und Gegenleistung gegenüberständen. Im Weitern hält das Kantonsgericht in diesem Zusammenhang fest, dass die beiden Verträge nicht gleichzeitig abgeschlossen werden mussten. Es sei angesichts der zeitlichen Dringlichkeit zunächst darum gegangen, die Einzelheiten des Werkvertrags zu vereinbaren; wie die Zeugenaussagen belegten, sei beiden Parteien klar gewesen, dass später ein öffentlich zu beurkundender Kaufvertrag über ein bestimmtes Einfamilienhaus zu einem ebenfalls bereits bestimmten Preis abgeschlossen werde; zum Abschluss dieses Vertrags sei es nur deshalb nicht gekommen, weil der Besteller vorher vom Werkvertrag zurückgetreten und die Überbauung nicht realisiert worden sei. Während das Bundesgericht im Berufungsverfahren an die tatsächlichen Feststellungen der Vorinstanz gebunden ist, kann es deren Rechtsanwendung frei überprüfen ( Art. 63 Abs. 3 OG ). Eine Rechtsfrage, über welche das Bundesgericht selbst befinden kann, stellt nun aber dar, ob im vorliegenden Fall ein zusammengesetzter Vertrag gegeben ist. Ein solcher Vertrag, auch Vertragsverbindung genannt, liegt nach der Lehre vor, wenn mehrere an und für sich selbständige Verträge derart miteinander verbunden werden, dass zwischen den vertraglichen Verpflichtungen eine ähnliche Abhängigkeit geschaffen wird, wie sie zwischen den beiden Leistungen in der gegenseitigen Obligation besteht. Nach dem Willen der Parteien werden zwei selbständige, gleichzeitig abgeschlossene Verträge in der Weise miteinander verbunden, dass diese sich wie Leistung und Gegenleistung im Austauschvertrag gegenüberstehen (Guhl/Koller, Das Schweizerische Obligationenrecht, 9. Aufl. , Zürich 2000, § 40 Rz. 19; Kramer, Berner Kommentar, N. 64 zu Art. 19-20 OR ; Gauch, Der Werkvertrag,</w:t>
      </w:r>
    </w:p>
    <w:p>
      <w:r>
        <w:rPr>
          <w:b/>
        </w:rPr>
        <w:t>E. 4</w:t>
      </w:r>
    </w:p>
    <w:p>
      <w:r>
        <w:t>a) Die Vorinstanz hat es abgelehnt, zur Ermittlung des Quantitativs eine Oberexpertise einzuholen, das sie das Gutachten O.________ für nachvollziehbar und schlüssig hielt. b) Soweit der Beklagte geltend macht, die Vorinstanz habe gegen Art. 8 ZGB verstossen, ist auf seine Vorbringen nicht einzutreten, da sie sich in Wirklichkeit gegen die Beweiswürdigung der Vorinstanz richten. Für eine solche Kritik ist die Berufung nicht gegeben. c) Der Beklagte hält für bundesrechtswidrig, dass die Vorinstanz der Auffassung des Experten folgte, die für die Erfüllung des Werkvertrags erforderlichen Arbeitsstunden stellten keine exakt berechenbare Grösse dar, und dass sie für den Schadensbeweis genügen liess, dass die von der Beklagten kalkulierten Werte nach Meinung des Experten in einer vernünftigen Bandbreite gelegen hätten. Er wirft der Vorinstanz sinngemäss vor, sie habe ein falsches Beweismass angewendet, indem sie nicht einen strikten Beweis gefordert, sondern sich mit Plausibilität und Wahrscheinlichkeit begnügt habe. Die Rüge ist unbegründet. Wie im angefochtenen Urteil zutreffend erläutert wird, ist bei der Schadensberechnung zu berücksichtigen, welchen Stundenaufwand die Beklagte gehabt hätte, wenn das Projekt realisiert worden wäre. Gemäss Art. 377 OR hat der Besteller den Unternehmer so zu stellen, wie wenn der Vertrag erfüllt worden wäre (Zindel/Pulver, Basler Kommentar, 2. Auflage, N. 15 zu Art. 377 OR ). Aufgrund dieser einschlägigen Norm des Bundesrechts war die Vorinstanz gehalten, eine Hypothese darüber aufzustellen, welcher Arbeitsaufwand im Fall der Ausführung der Baumeisterarbeiten notwendig gewesen wäre. Hypothesen können indes nicht strikte nachgewiesen werden. Nach der Rechtsprechung des Bundesgerichts muss denn auch in den Fällen hypothetischer Kausalität genügen, dass die überwiegende Wahrscheinlichkeit für einen bestimmten Kausalverlauf spricht ( BGE 115 II 440 E. 6a; 121 III 358 E. 5). Entsprechend verhält es sich auch in anderen Fällen hypothetischer Verläufe. Die Vorinstanz hat daher mit der Verminderung des Beweismasses auf die überwiegende Wahrscheinlichkeit kein Bundesrecht verletzt.</w:t>
      </w:r>
    </w:p>
    <w:p>
      <w:r>
        <w:rPr>
          <w:b/>
        </w:rPr>
        <w:t>E. 5</w:t>
      </w:r>
    </w:p>
    <w:p>
      <w:r>
        <w:t>Aus diesen Gründen ist die Berufung abzuweisen, soweit auf sie eingetreten werden kann, und das angefochtene Urteil zu bestätigen. Dem Ausgang des Verfahrens entsprechend ist die Gerichtsgebühr dem Beklagten aufzuerlegen ( Art. 156 Abs. 1 OG ). Dieser hat die Klägerin für das bundesgerichtliche Verfahren zu entschädigen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