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4C.281/2000 vom 24. November 2000</w:t>
      </w:r>
    </w:p>
    <w:p>
      <w:r>
        <w:t>Bundesgericht, 2000-11-24, DE</w:t>
      </w:r>
    </w:p>
    <w:p>
      <w:r>
        <w:rPr>
          <w:b/>
        </w:rPr>
        <w:t xml:space="preserve">Quelle: </w:t>
      </w:r>
      <w:r>
        <w:t>https://mcp.opencaselaw.ch/entscheid/bger_4C.281_2000</w:t>
      </w:r>
    </w:p>
    <w:p>
      <w:r>
        <w:t>FR: TF 4C.281/2000 du 24 novembre 2000</w:t>
      </w:r>
    </w:p>
    <w:p>
      <w:r>
        <w:t>IT: TF 4C.281/2000 del 24 novembre 2000</w:t>
      </w:r>
    </w:p>
    <w:p>
      <w:pPr>
        <w:pStyle w:val="Heading2"/>
      </w:pPr>
      <w:r>
        <w:t>Regeste</w:t>
      </w:r>
    </w:p>
    <w:p>
      <w:r>
        <w:t>Gesellschaftsrecht</w:t>
      </w:r>
    </w:p>
    <w:p>
      <w:pPr>
        <w:pStyle w:val="Heading2"/>
      </w:pPr>
      <w:r>
        <w:t>Erwägungen</w:t>
      </w:r>
    </w:p>
    <w:p>
      <w:r>
        <w:rPr>
          <w:b/>
        </w:rPr>
        <w:t>E. 1</w:t>
      </w:r>
    </w:p>
    <w:p>
      <w:r>
        <w:t>Nach Art. 55 Abs. 1 lit. c OG ist in der Berufungsschrift anzugeben, welche Bundesrechtssätze der angefochtene Entscheid verletzt und inwiefern er gegen sie verstösst. Fehl am Platz sind dagegen Rügen der Verletzung von Verfassungsrecht - so insbesondere der Vorwurf der Willkür - ( Art. 43 Abs. 1 Satz 2 OG ), Erörterungen über die Anwendung kantonalen Rechts und Ausführungen, die sich in unzulässiger Weise gegen tatsächliche Feststellungen der Vorinstanz richten ( BGE 120 II 97 E. 2b S. 99; 119 II 84 E. 3; 116 II 92 E. 2 S. 93 mit Hinweisen).</w:t>
      </w:r>
    </w:p>
    <w:p>
      <w:r>
        <w:rPr>
          <w:b/>
        </w:rPr>
        <w:t>E. 2</w:t>
      </w:r>
    </w:p>
    <w:p>
      <w:r>
        <w:t>Der Beklagte wirft dem Kantonsgericht vor, es habe "gegen den Grundsatz der Parteiautonomie und damit gegen Bundesrecht" verstossen, indem es dem Kläger, obwohl dieser lediglich die Auszahlung des Gesellschaftsanteils verlangt und kein beziffertes Begehren gestellt habe, genau jenen Betrag zugesprochen habe, von welchem der Kläger behauptet habe, ihn dem Sohn des Beklagten geliehen zu haben. Wie der Kläger in der Berufungsantwort zutreffend bemerkt, gehört die Dispositionsmaxime, in welcher die Parteiautonomie ihren verfahrensrechtlichen Niederschlag findet, nach der Rechtsprechung des Bundesgerichts dem kantonalen Prozessrecht an ( BGE 116 II 86 E. 4d S. 90; 111 II 360 E. 1; 109 II 452 E. 5d S. 460). Die betreffenden Ausführungen sind deshalb im Berufungsverfahren nicht zu hören. Soweit sich der Beklagte in diesem Zusammenhang darauf beruft, der Kläger hätte beweisen müssen, dass ihm eine Bezifferung der Klage nicht früher möglich gewesen sei, ist ihm überdies entgegenzuhalten, dass das Kantonsgericht darauf angewiesen war, die Bemessung des Gesellschaftsanteils des Klägers in Würdigung des prozessualen Verhaltens des Beklagten vorzunehmen. Es hat dazu festgehalten, die vom Beklagten eingereichten Urkunden erlaubten es nicht, den Wert des hälftigen Anteils des Klägers an der "Contrag" per 31. Dezember 1996 zu bestimmen. Damit liegt Beweiswürdigung vor, so dass der vom Beklagten zusätzlich erhobene Vorwurf falscher Beweislastverteilung bedeutungslos ist ( BGE 114 II 289 E. 2a S. 291).</w:t>
      </w:r>
    </w:p>
    <w:p>
      <w:r>
        <w:rPr>
          <w:b/>
        </w:rPr>
        <w:t>E. 3</w:t>
      </w:r>
    </w:p>
    <w:p>
      <w:r>
        <w:t>Die Vorinstanz hat aufgrund der eingereichten Akten, des Verhaltens von Remo Karpf und weiterer Umstände geprüft, in welcher Absicht die Überweisungen des Klägers zugunsten des Sohnes des Beklagten erfolgten. Sie kam zum Schluss, es habe sich dabei um ein Darlehen und nicht um Anzahlungen für die Arbeiten am "Designer-Ei" gehandelt. Der gegen diese Beweiswürdigung erhobene Vorwurf der Verletzung von Art. 8 ZGB zufolge Nichtanhörung der angebotenen Zeugen ist unbeachtlich, denn diese Bestimmung schreibt dem Richter nicht vor, mit welchen Mitteln der Sachverhalt abzuklären und wie das Ergebnis zu würdigen ist. Entgegen der Auffassung des Beklagten ist auch eine antizipierte Beweiswürdigung bundesrechtlich nicht ausgeschlossen ( BGE 122 III 219 E. 3c S. 223; 119 II 114 E. 4c S. 117; 114 II 289 E. 2a S. 290 f.).</w:t>
      </w:r>
    </w:p>
    <w:p>
      <w:r>
        <w:rPr>
          <w:b/>
        </w:rPr>
        <w:t>E. 4</w:t>
      </w:r>
    </w:p>
    <w:p>
      <w:r>
        <w:t>Mit Bezug auf die Gültigkeit der Zession hat die Vorinstanz ebenfalls die vorgelegten Urkunden gewürdigt und die These des Beklagten, die Abtretung sei unter der Bedingung erfolgt, dass der Kläger Remo Karpf Fr. 100'000.-- zur Verfügung stelle, als unbewiesen verworfen. Die hiegegen erhobene Rüge der Verletzung von Art. 8 ZGB fällt somit wiederum ins Leere (vgl. E. 2 hievor).</w:t>
      </w:r>
    </w:p>
    <w:p>
      <w:r>
        <w:rPr>
          <w:b/>
        </w:rPr>
        <w:t>E. 5</w:t>
      </w:r>
    </w:p>
    <w:p>
      <w:r>
        <w:t>Zur Streitfrage, ob der Kläger lediglich Vermögensrechte oder die Vollmitgliedschaft an der einfachen Gesellschaft erworben hat, stellte die Vorinstanz in eingehender Würdigung aller Umstände und der vorgelegten Akten fest, es habe dem übereinstimmenden wirklichen Willen Remo Karpfs und des Klägers entsprochen, diesem die Mitgliedschaft an der "Contrag" zu übertragen, wobei sich der Beklagte damit einverstanden erklärt habe. Auch bei objektivierter Auslegung nach dem Vertrauensprinzip hätte sich kein anderer Sinn der Erklärungen ergeben. Der Beklagte kritisiert diese Auslegung der Abtretungserklärung als bundesrechtswidrig. 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An die tatsächlichen Feststellungen der Vorinstanz darüber, was die Parteien dachten, wussten oder wollten, ist das Bundesgericht gebunden ( BGE 121 III 118 E. 4b/aa S. 123; 119 II 449 E. 3a S. 451; 118 II 365 f. E. 1; 117 II 273 E. 5a S. 278 f., je mit Hinweisen). Da die Vorinstanz wie dargelegt den wirklichen Willen der Parteien mit Bezug auf die Einräumung der Rechtsstellung des Klägers ermittelt hat, sind die in der Berufung dagegen vorgebrachten Ausführungen nicht zu hören. Das gilt auch für die weiteren Vorbringen, wonach der Beklagte nicht zur Erstellung einer Abschichtungsbilanz verpflichtet gewesen sei, denn sie beruhen auf der Annahme, der Kläger sei nicht Gesellschafter geworden.</w:t>
      </w:r>
    </w:p>
    <w:p>
      <w:r>
        <w:rPr>
          <w:b/>
        </w:rPr>
        <w:t>E. 6</w:t>
      </w:r>
    </w:p>
    <w:p>
      <w:r>
        <w:t>Soweit der Beklagte mit der Berufung geltend macht, das Gestaltungsrecht, die Liquidation der Gesellschaft herbeizuführen, habe nicht selbständig zediert werden können, ist ihm entgegenzuhalten, dass im angefochtenen Urteil das Recht des Klägers, die einfache Gesellschaft zu kündigen, nicht aus einer Abtretung des Kündigungsrechts, sondern aus seiner Rechtsposition als stiller Gesellschafter der "Contrag" abgeleitet wird. Inwiefern die Vorinstanz dabei Bundesrecht verletzt haben soll, ist weder dargetan noch ersichtlich.</w:t>
      </w:r>
    </w:p>
    <w:p>
      <w:r>
        <w:rPr>
          <w:b/>
        </w:rPr>
        <w:t>E. 7</w:t>
      </w:r>
    </w:p>
    <w:p>
      <w:r>
        <w:t>Die Vorbringen des Beklagten erweisen sich insgesamt als unbeachtlich, weshalb auf die Berufung nicht eingetreten werden kann. Dem Ausgang des Verfahrens entsprechend ist die Gerichtsgebühr dem Beklagten aufzuerlegen ( Art. 156 Abs. 1 OG ). Er hat zudem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