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4C.27/2006 vom 2. Mai 2006</w:t>
      </w:r>
    </w:p>
    <w:p>
      <w:r>
        <w:t>Bundesgericht, 2006-05-02, FR</w:t>
      </w:r>
    </w:p>
    <w:p>
      <w:r>
        <w:rPr>
          <w:b/>
        </w:rPr>
        <w:t xml:space="preserve">Quelle: </w:t>
      </w:r>
      <w:r>
        <w:t>https://mcp.opencaselaw.ch/entscheid/bger_4C.27_2006</w:t>
      </w:r>
    </w:p>
    <w:p>
      <w:r>
        <w:t>FR: TF 4C.27/2006 du 2 mai 2006</w:t>
      </w:r>
    </w:p>
    <w:p>
      <w:r>
        <w:t>IT: TF 4C.27/2006 del 2 maggio 2006</w:t>
      </w:r>
    </w:p>
    <w:p>
      <w:pPr>
        <w:pStyle w:val="Heading2"/>
      </w:pPr>
      <w:r>
        <w:t>Regeste</w:t>
      </w:r>
    </w:p>
    <w:p>
      <w:r>
        <w:t>contrat de bail à ferme agricole; dommages | Droit des contrats</w:t>
      </w:r>
    </w:p>
    <w:p>
      <w:pPr>
        <w:pStyle w:val="Heading2"/>
      </w:pPr>
      <w:r>
        <w:t>Erwägungen</w:t>
      </w:r>
    </w:p>
    <w:p>
      <w:r>
        <w:rPr>
          <w:b/>
        </w:rPr>
        <w:t>E. 1</w:t>
      </w:r>
    </w:p>
    <w:p>
      <w:r>
        <w:t>Le Tribunal fédéral examine d'office et librement la recevabilité des recours qui lui sont soumis ( ATF 131 III 667 consid. 1 p. 668; 131 V 202 consid. 1).</w:t>
      </w:r>
    </w:p>
    <w:p>
      <w:r>
        <w:rPr>
          <w:b/>
        </w:rPr>
        <w:t>E. 1.1</w:t>
      </w:r>
    </w:p>
    <w:p>
      <w:r>
        <w:t>Sous réserve de quelques points, le contenu des deux écritures du demandeur est rigoureusement identique. Dans sa jurisprudence, le Tribunal fédéral a qualifié d'abusif le procédé consistant à déposer deux recours, dans des écritures certes distinctes, mais en mélangeant les griefs propres à une voie avec ceux propres à l'autre ( ATF 116 II 92 consid. 1; 115 II 396 consid. 2a). Il ne faut pas pour autant en déduire que deux recours sont irrecevables du seul fait qu'ils ont la même motivation. Il ne sera pas entré en matière si les moyens tirés de la violation du droit fédéral et ceux tirés de la violation de droit constitutionnel sont exposés pêle-mêle. Tel est le cas lorsque les arguments avancés à l'appui des deux recours apparaissent enchevêtrés les uns aux autres, peu compréhensibles ni logiquement ordonnés (arrêt 4P.227/2004 du 20 janvier 2005, consid. 2 et l'arrêt cité). En présence de deux recours dont la motivation est similaire, il convient ainsi d'examiner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 ATF 118 IV 293 consid. 2a). Le cas d'espèce semble à la limite de l'irrecevabilité au vu de la jurisprudence susmentionnée. Il n'est toutefois pas nécessaire de trancher la question, dès lors que, comme on le verra, les griefs invoqués sont manifestement dépourvus de fondement.</w:t>
      </w:r>
    </w:p>
    <w:p>
      <w:r>
        <w:rPr>
          <w:b/>
        </w:rPr>
        <w:t>E. 1.2</w:t>
      </w:r>
    </w:p>
    <w:p>
      <w:r>
        <w:t>Interjeté par le demandeur, qui a été partiellement débouté de ses conclusions condamnatoires,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compte tenu des féries ( art. 34 al. 1 let . c et 54 al. 1 OJ) et dans les formes requises ( art. 55 OJ ).</w:t>
      </w:r>
    </w:p>
    <w:p>
      <w:r>
        <w:rPr>
          <w:b/>
        </w:rPr>
        <w:t>E. 1.3</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Le demandeur reproche à la cour cantonale d'avoir méconnu la notion juridique du dommage.</w:t>
      </w:r>
    </w:p>
    <w:p>
      <w:r>
        <w:rPr>
          <w:b/>
        </w:rPr>
        <w:t>E. 2.1</w:t>
      </w:r>
    </w:p>
    <w:p>
      <w:r>
        <w:t>Dire s'il y a eu dommage et quelle en est la quotité est une question de fait qui lie le Tribunal fédéral saisi d'un recours en réforme. C'est en revanche une question de droit de dire si la notion juridique de dommage a été méconnue ( ATF 130 III 145 consid. 6.2; 129 III 18 consid. 2.4 p. 23, 135 consid. 4.2.1 p. 153).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129 III 18 consid. 2.4 p. 23, 331 consid. 2.1 p. 332; 128 III 22 consid. 2e/aa, 180 consid. 2d p. 184).</w:t>
      </w:r>
    </w:p>
    <w:p>
      <w:r>
        <w:rPr>
          <w:b/>
        </w:rPr>
        <w:t>E. 2.2</w:t>
      </w:r>
    </w:p>
    <w:p>
      <w:r>
        <w:t>Reprenant une motivation presque entièrement similaire à celle présentée dans son recours de droit public, le demandeur reproche en substance à la cour cantonale d'avoir erré en partant du montant du bénéfice net, en le divisant par la surface exploitée et en multipliant le résultat par la surface non exploitée, puisque le bénéfice net varierait plus que proportionnellement au chiffre d'affaires.</w:t>
      </w:r>
    </w:p>
    <w:p>
      <w:r>
        <w:rPr>
          <w:b/>
        </w:rPr>
        <w:t>E. 2.3</w:t>
      </w:r>
    </w:p>
    <w:p>
      <w:r>
        <w:t>En l'espèce, le demandeur avait droit à la différence entre le montant de son patrimoine avec et sans le dommage, soit le manque à gagner résultant du fait qu'il n'avait pas pu cultiver une surface de 56,4 ares objet du contrat de bail à ferme. Or, le procédé suivi par la cour cantonale est conforme à ce principe. Celle-ci n'a donc pas méconnu la notion juridique de dommage. Comme le défendeur le relève à juste titre, le demandeur avait d'ailleurs mentionné, dans son recours de droit public, que "la cour civile a donc retenu à juste titre que Monsieur A.________ avait droit à une indemnisation. Cette dernière respecte la notion juridique du dommage déterminée par la jurisprudence reprise dans l' ATF 127 III 543 ci-après mais se trompe dans la quotité de ce dernier". Pour le surplus, en tant que la motivation du demandeur consiste en une critique ayant trait à l'existence et à la quotité du dommage, elle est irrecevable dans le cadre de son recours en réforme. Il en va de même dans la mesure où elle repose sur des éléments qui ne ressortent pas de l'état de fait arrêté souverainement par la cour cantonale.</w:t>
      </w:r>
    </w:p>
    <w:p>
      <w:r>
        <w:rPr>
          <w:b/>
        </w:rPr>
        <w:t>E. 2.4</w:t>
      </w:r>
    </w:p>
    <w:p>
      <w:r>
        <w:t>Il s'ensuit que l'arrêt attaqué ne consacre aucune violation du droit fédéral, de sorte que le recours doit être rejeté dans la mesure de sa recevabilité.</w:t>
      </w:r>
    </w:p>
    <w:p>
      <w:r>
        <w:rPr>
          <w:b/>
        </w:rPr>
        <w:t>E. 3</w:t>
      </w:r>
    </w:p>
    <w:p>
      <w:r>
        <w:t>Compte tenu de l'issue du litige, les frais et dépens seront mis à la charge du demandeur,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