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4C.277/2002 vom 7. Februar 2003</w:t>
      </w:r>
    </w:p>
    <w:p>
      <w:r>
        <w:t>Bundesgericht, 2003-02-07, FR</w:t>
      </w:r>
    </w:p>
    <w:p>
      <w:r>
        <w:rPr>
          <w:b/>
        </w:rPr>
        <w:t xml:space="preserve">Quelle: </w:t>
      </w:r>
      <w:r>
        <w:t>https://mcp.opencaselaw.ch/entscheid/bger_4C.277_2002</w:t>
      </w:r>
    </w:p>
    <w:p>
      <w:r>
        <w:t>FR: TF 4C.277/2002 du 7 février 2003</w:t>
      </w:r>
    </w:p>
    <w:p>
      <w:r>
        <w:t>IT: TF 4C.277/2002 del 7 febbraio 2003</w:t>
      </w:r>
    </w:p>
    <w:p>
      <w:pPr>
        <w:pStyle w:val="Heading2"/>
      </w:pPr>
      <w:r>
        <w:t>Regeste</w:t>
      </w:r>
    </w:p>
    <w:p>
      <w:r>
        <w:t>Droit des obligations (en général)</w:t>
      </w:r>
    </w:p>
    <w:p>
      <w:pPr>
        <w:pStyle w:val="Heading2"/>
      </w:pPr>
      <w:r>
        <w:t>Erwägungen</w:t>
      </w:r>
    </w:p>
    <w:p>
      <w:r>
        <w:rPr>
          <w:b/>
        </w:rPr>
        <w:t>E. 1.1</w:t>
      </w:r>
    </w:p>
    <w:p>
      <w:r>
        <w:t>Selon la jurisprudence, la qualité pour agir et la qualité pour défendre appartiennent aux conditions matérielles de la prétention litigieuse; elles sont fonction du droit au fond et leur défaut conduit au rejet de l'action, solution qui intervient indépendamment de la réalisation des éléments objectifs de la prétention litigieuse. Cette question doit être examinée d'office et librement ( ATF 126 III 59 consid. 1a). De même que la reconnaissance de la qualité pour défendre signifie seulement que le demandeur peut faire valoir sa prétention contre le défendeur, disposer de la qualité pour agir signifie que le demandeur est en droit de faire valoir cette prétention. Autrement dit, la question de la qualité pour agir revient à déterminer qui peut faire valoir une prétention en qualité de titulaire d'un droit, en son propre nom. En conséquence, la reconnaissance de la qualité pour agir ou pour défendre n'emporte pas décision sur l'existence de la prétention du demandeur, que ce soit dans son principe ou dans sa quotité ( ATF 125 III 82 consid. 1a; 114 II 345 consid. 3a et les références).</w:t>
      </w:r>
    </w:p>
    <w:p>
      <w:r>
        <w:rPr>
          <w:b/>
        </w:rPr>
        <w:t>E. 1.2</w:t>
      </w:r>
    </w:p>
    <w:p>
      <w:r>
        <w:t>Selon l' art. 48 al. 1 OJ , le recours en réforme n'est recevable en règle générale que contre les décisions finales prises par les tribunaux ou autres autorités suprêmes des cantons et qui ne peuvent pas être l'objet d'un recours ordinaire de droit cantonal. Cette voie de droit n'est donc ouverte qu'à l'encontre d'un prononcé qui statue sur le fond du droit, ou qui refuse d'en connaître pour un motif excluant définitivement que la prétention litigieuse fasse l'objet d'un nouveau procès entre les mêmes parties ( ATF 127 III 433 consid. 1b, 474 consid. 1a; 126 III 445 consid. 3b). Un jugement est en particulier final lorsqu'il statue sur le droit litigieux avec l'autorité de la chose jugée ( ATF 119 II 241 consid. 2; 116 II 381 consid. 2a). Lorsque l'action est rejetée, il importe peu que ce soit pour un motif préjudiciel, à l'exemple du défaut de qualité pour agir (Poudret, COJ II, n. 1.1.3 ad art. 48 OJ , p. 270). En l'espèce, le jugement déféré, en déniant la qualité pour agir de la demanderesse, a mis fin à l'action que celle-ci avait ouverte le 13 juillet 1999 à l'encontre notamment des défendeurs. Il s'agit donc bien d'une décision finale au sens de l' art. 48 al. 1 OJ .</w:t>
      </w:r>
    </w:p>
    <w:p>
      <w:r>
        <w:rPr>
          <w:b/>
        </w:rPr>
        <w:t>E. 2</w:t>
      </w:r>
    </w:p>
    <w:p>
      <w:r>
        <w:t>Pour la recourante, la jurisprudence a prévu des aménagements au principe selon lequel les consorts matériels nécessaires doivent agir ensemble. Ainsi, il suffirait qu'ils soient tous parties au procès. Aussi la Cour civile aurait-elle méconnu le fait que les deux titulaires de la créance en main commune, à savoir la demanderesse et F.________, étaient tout deux parties à la procédure, la première en qualité de demanderesse, le second comme défendeur. Il convenait également de tenir compte du fait que F.________ aurait refusé de se joindre à la demanderesse dans la procédure engagée contre les intimés. En effet, le prénommé n'avait jamais manifesté l'intention de faire valoir des prétentions à l'endroit des débiteurs de la société simple qu'il avait formée avec Z.________ SA, d'autant qu'il risquait, s'il agissait en justice, de se voir reconnu débiteur solidaire d'un montant plus élevé que celui de sa propre créance. Quoi qu'il en soit, F.________, qui n'a pas renoncé à sa part de créance, peut exciper de compensation à due concurrence avec le montant que lui-même et ses codébiteurs solidaires devront verser à la recourante.</w:t>
      </w:r>
    </w:p>
    <w:p>
      <w:r>
        <w:rPr>
          <w:b/>
        </w:rPr>
        <w:t>E. 3.1</w:t>
      </w:r>
    </w:p>
    <w:p>
      <w:r>
        <w:t>Il est constant que Z.________ SA et F.________, qui ont convenu d'unir leurs efforts pour réaliser des travaux d'architecture portant sur des immeubles à construire dans la commune de L.________, ont conclu un contrat de société simple au sens de l' art. 530 CO . Partant, le patrimoine de la société, lequel incluait singulièrement les créances sociales à l'endroit des tiers, leur appartenait, de par la loi, en main commune ( art. 544 al. 1 CO ; von Steiger, Traité de droit privé suisse, VIII/1, p. 382; Siegwart; Commentaire zurichois, n. 8 ad art. 544 CO ; Tercier; Les contrats spéciaux, 3e éd., n. 6753, p. 966/967; Bucher, Schweizerisches Obligationenrecht, Allgemeiner Teil, p. 502; Gauch/Schluep/Schmid/Rey, Schweizerisches Obligationenrecht, Allgemeiner Teil, 7e éd., vol. II, n. 3787). Il n'a pas été établi qu'une autre forme de répartition des actifs de la société - laquelle serait en elle-même admissible (von Steiger, op. cit., loc. cit.; Tercier, op. cit., loc. cit.; Gauch/Schluep/Schmid/Rey, op. cit., n. 3790) - aurait été convenue dans le contrat de société simple. Les décisions portant sur les créances de la société simple nécessitaient donc le concours des deux associés (von Steiger, op. cit., loc. cit.; Siegwart, op. cit., n. 13 ad art. 544 CO ; Bucher, op. cit., loc. cit.; particulièrement clair von Tuhr/Escher, Allgemeiner Teil des Schweizerischen Obligationenrechts, § 89, ch. V, p. 392 s.; inexact Spirig, Commentaire zurichois, n. 64 ad art. 164 CO , qui confond propriété en main commune et communauté de créanciers solidaires). Un tel concours peut également être apporté dans le cadre d'une représentation. Sous cet angle, il convient donc d'examiner la portée juridique de la cession qui est intervenue le 7 février 1992.</w:t>
      </w:r>
    </w:p>
    <w:p>
      <w:r>
        <w:rPr>
          <w:b/>
        </w:rPr>
        <w:t>E. 3.2</w:t>
      </w:r>
    </w:p>
    <w:p>
      <w:r>
        <w:t>Selon l'état de fait déterminant ( art. 63 al. 2 OJ ), la cession globale de créances opérée par Z.________ SA au bénéfice de la banque W.________ l'a été à fin de garanties; elle se rapportait à "toutes ses créances présentes et futures, résultant de ses relations d'affaires avec ses débiteurs, y compris tous les droits accessoires et de préférence ainsi que les intérêts échus, courants ou à échoir". Il n'a pas été constaté que l'associé F.________ ait consenti à cette cession, ni qu'il ait investi quiconque du pouvoir de le représenter en sa qualité de créancier. Et il appert d'emblée que Z.________ SA ne pouvait invoquer un pouvoir légal d'administration, du moment que la cession d'une créance de la société pour garantir les dettes d'un associé ne constitue pas un acte d'administration ordinaire de la société simple. La cession en cause était ainsi inefficace, peu importât que le tiers cessionnaire fût de bonne foi (Siegwart, op. cit., n. 15 ad art. 544 CO ). Il sied de rappeler l'adage fondamental "nemo plus iuris transferre potest quam ipse habet". Il est juridiquement impossible de disposer d'un bien sans pouvoir pour ce faire ( art. 20 al. 1 CO ; Spirig, op. cit., n. 68 ad art. 164 CO ). La cession d'une créance sans le pouvoir d'en disposer est en conséquence nulle (Bucher, op. cit., p. 542). Hormis les situations particulières de l' art. 18 al. 2 CO (cas où l'intéressé est cessionnaire d'une créance reconnue fictivement par écrit) ou de l' art. 164 al. 2 CO (cas où l'intéressé est cessionnaire de bonne foi d'une créance dont la clause d'incessibilité n'était pas libellée dans le titre) et contrairement aux droits réels (cf. art. 714 al. 2 CC en relation avec l' art. 933 CC ), l'acquéreur de bonne foi de la créance cédée sans droit n'est pas protégé (Spirig, op. cit., n. 44 ad Vorbemerkungen ad Art. 164-174 CO ). Il n'en va pas différemment lorsqu'on se trouve en présence, comme en l'espèce, d'une chaîne de cessions. Le dernier acquéreur peut se voir opposer toutes les objections qui résultaient des cessions précédentes (Bucher, op. cit., p. 557). Autrement dit, une créance qui n'a pas été valablement cédée ne saurait être guérie de ce vice par une cession ultérieure à un tiers.</w:t>
      </w:r>
    </w:p>
    <w:p>
      <w:r>
        <w:rPr>
          <w:b/>
        </w:rPr>
        <w:t>E. 3.3</w:t>
      </w:r>
    </w:p>
    <w:p>
      <w:r>
        <w:t>Il suit de là que Z.________ SA, agissant seule, n'était pas en droit de céder à la banque W.________ la créance d'honoraires de la société simple qu'elle avait formée avec F.________. Tout au plus, Z.________ SA a pu céder unilatéralement les droits patrimoniaux qu'elle avait contre la société simple, ainsi son droit à une part de liquidation dans ladite société (von Steiger, op. cit., p. 410 s.; Siegwart, op. cit., n. 4 ad art. 542 CO ; Tercier, op. cit., n. 6669, p. 956/957; Jean-Marc Löliger, Die Unterbeteiligung an Personengesellschaftsanteilen, thèse Bâle 1998, p. 36 ss.). La créance que la demanderesse entend faire valoir contre le partenaire contractuel de la société simple n'entre manifestement pas dans cette catégorie. Il s'agit en effet d'une créance liée à l'activité de la société simple, résultant plus précisément des "relations d'affaires" de celle-ci, comme le mentionne expressément l'acte de cession générale du 7 février 1992. En définitive, la recourante invoque une créance de la société simple elle-même. Mais comme F.________ n'a jamais consenti à ce que cette créance sociale soit transférée, la demanderesse, dernier maillon de la chaîne de cessions, ne peut déduire aucun droit contre les défendeurs, ancien cocontractant ou successeurs à titre universel d'un ancien cocontractant de la société simple précitée. Partant, la cour cantonale n'a nullement violé le droit fédéral en rejetant la demande pour défaut de légitimation active de la recourante.</w:t>
      </w:r>
    </w:p>
    <w:p>
      <w:r>
        <w:rPr>
          <w:b/>
        </w:rPr>
        <w:t>E. 4</w:t>
      </w:r>
    </w:p>
    <w:p>
      <w:r>
        <w:t>Il s'ensuit que le recours doit être rejeté. Les frais de la procédure seront mis à la charge de la recourante qui succombe. Celle-ci devra en outre verser aux intimés, créanciers solidaires,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