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4C.276/2004 vom 12. Oktober 2004</w:t>
      </w:r>
    </w:p>
    <w:p>
      <w:r>
        <w:t>Bundesgericht, 2004-10-12, FR</w:t>
      </w:r>
    </w:p>
    <w:p>
      <w:r>
        <w:rPr>
          <w:b/>
        </w:rPr>
        <w:t xml:space="preserve">Quelle: </w:t>
      </w:r>
      <w:r>
        <w:t>https://mcp.opencaselaw.ch/entscheid/bger_4C.276_2004</w:t>
      </w:r>
    </w:p>
    <w:p>
      <w:r>
        <w:t>FR: TF 4C.276/2004 du 12 octobre 2004</w:t>
      </w:r>
    </w:p>
    <w:p>
      <w:r>
        <w:t>IT: TF 4C.276/2004 del 12 ottobre 2004</w:t>
      </w:r>
    </w:p>
    <w:p>
      <w:pPr>
        <w:pStyle w:val="Heading2"/>
      </w:pPr>
      <w:r>
        <w:t>Regeste</w:t>
      </w:r>
    </w:p>
    <w:p>
      <w:r>
        <w:t>Droit des contrats</w:t>
      </w:r>
    </w:p>
    <w:p>
      <w:pPr>
        <w:pStyle w:val="Heading2"/>
      </w:pPr>
      <w:r>
        <w:t>Erwägungen</w:t>
      </w:r>
    </w:p>
    <w:p>
      <w:r>
        <w:rPr>
          <w:b/>
        </w:rPr>
        <w:t>E. 1</w:t>
      </w:r>
    </w:p>
    <w:p>
      <w:r>
        <w:t>Interjeté par la demanderesse, qui a entièrement succombé dans ses conclusions en paiement, et dirigé contre un jugement final rendu en dernière instance cantonale par un tribunal supérieur ( art. 48 al. 1 OJ ), le recours porte sur une contestation civile dont la valeur litigieuse dépasse largement le seuil de 8'000 fr. ( art. 46 OJ ). Il a en outre été déposé en temps utile ( art. 54 al. 1 OJ ) et dans les formes requises ( art. 55 OJ ). Il convient donc d'entrer en matière.</w:t>
      </w:r>
    </w:p>
    <w:p>
      <w:r>
        <w:rPr>
          <w:b/>
        </w:rPr>
        <w:t>E. 2.1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w:t>
      </w:r>
    </w:p>
    <w:p>
      <w:r>
        <w:rPr>
          <w:b/>
        </w:rPr>
        <w:t>E. 2.2</w:t>
      </w:r>
    </w:p>
    <w:p>
      <w:r>
        <w:t>Tout en rappelant ces principes en début de recours, la demanderesse cherche à se fonder sur des faits ne ressortant pas de l'arrêt entrepris, en invoquant l'existence d'inadvertances manifestes de la part de la cour cantonale. Ce faisant, elle semble oublier que l'inadvertance manifeste, susceptible d'être rectifiée d'office par le Tribunal fédéral en application de l' art. 63 al. 2 OJ , suppose que l'autorité, par simple inattention, ait omis de prendre en considération tout ou partie d'une pièce déterminée, versée au dossier, l'ait mal lue ou mal comprise (cf. ATF 121 IV 104 consid 2b p. 106; 115 II 399 consid. 2a). L'absence de mention d'une pièce dans le cadre de l'appréciation des preuves ne signifie pas encore qu'il y ait inadvertance manifeste. Il faut que ladite pièce n'ait pas été examinée, même implicitement; en d'autres termes que le juge n'en ait pas pris connaissance ou l'ait purement et simplement laissée de côté. L'inadvertance manifeste ne saurait être confondue avec l'appréciation des preuves. Dès l'instant où une constatation de fait repose sur l'appréciation, même insoutenable, d'une preuve, d'un ensemble de preuves ou d'indices, une inadvertance est exclue (arrêt du Tribunal fédéral 4C.149/1995 du 5 décembre 1995 in SJ 1996 p. 353, consid. 3a). La voie du recours en réforme ne permet en effet pas de remettre en cause l'appréciation des preuves ( ATF 130 III 145 consid. 3.2 p. 160). C'est précisément ce que cherche à obtenir la demanderesse, dès lors que, sous le couvert de l' art. 63 al. 2 OJ , elle cite plus de dix extraits de témoignages qui démontreraient le langage non seulement grossier utilisé, mais aussi sexiste, de nature à fonder une discrimination à raison du sexe. Loin d'avoir occulté ces éléments, la cour cantonale a relevé que, dans l'agence de Genève, l'usage d'un langage familier, voire parfois grossier, était de mise et que chacun s'exprimait de façon crue, y compris la demanderesse, ce qui démontre bien qu'elle a tenu compte des déclarations des témoins rapportant les échanges verbaux qui se déroulaient à l'agence. Si les juges n'ont pas retenu l'existence de propos de nature sexiste, ce n'est donc à l'évidence pas à la suite d'inadvertances manifestes répétées, portant sur de nombreuses pièces versées au dossier, mais à la suite d'une appréciation des preuves. Le grief lié à l' art. 63 al. 2 OJ est donc irrecevable. Il en découle qu'il n'y a pas lieu de compléter les faits ressortant de l'arrêt entrepris, de sorte que c'est exclusivement à leur lumière que la Cour de céans se penchera sur les autres critiques soulevées par la demanderesse.</w:t>
      </w:r>
    </w:p>
    <w:p>
      <w:r>
        <w:rPr>
          <w:b/>
        </w:rPr>
        <w:t>E. 3</w:t>
      </w:r>
    </w:p>
    <w:p>
      <w:r>
        <w:t>La demanderesse soutient qu'en niant l'existence de harcèlement sexuel, la cour cantonale a violé les art. 328 CO et 4 LEg. (RS 151.1).</w:t>
      </w:r>
    </w:p>
    <w:p>
      <w:r>
        <w:rPr>
          <w:b/>
        </w:rPr>
        <w:t>E. 3.1</w:t>
      </w:r>
    </w:p>
    <w:p>
      <w:r>
        <w:t>Le devoir de protection de la personnalité du travailleur par l'employeur est prévue à l' art. 328 CO , qui a été complété, lors de l'introduction de la LEg., par la mention expresse de la protection contre le harcèlement sexuel ( ATF 126 III 395 consid. 7b/aa p. 397). Les remarques sexistes et les commentaires grossiers ou embarrassants entrent dans la définition du harcèlement sexuel. Bien que l' art. 4 LEg . ne se réfère qu'à des cas d'abus d'autorité, la définition englobe tous les comportements importuns de caractère sexuel, soit également ceux qui contribuent à rendre le climat de travail hostile, par exemple des plaisanteries déplacées (cf. ATF 126 III 395 consid. 7b/bb p. 397 et les références citées, confirmé in arrêt du Tribunal fédéral non publié 4C.187/2000 du 6 avril 2001, consid. 2b). Le fait que l'employée qui se plaint de harcèlement ait elle-même eu recours au même vocabulaire ne saurait en principe justifier l'admission par l'employeur de remarques sexistes, grossières ou embarrassantes, en particulier de la part d'un supérieur hiérarchique dont le comportement peut déteindre sur celui de ses subordonnés, sous réserve de l'hypothèse où un tel langage aurait été utilisé dans un contexte a priori personnel, comme des messages échangés entre collègues de travail (cf. ATF 126 III 395 consid. 7d p. 399).</w:t>
      </w:r>
    </w:p>
    <w:p>
      <w:r>
        <w:rPr>
          <w:b/>
        </w:rPr>
        <w:t>E. 3.2</w:t>
      </w:r>
    </w:p>
    <w:p>
      <w:r>
        <w:t>Dans la mesures où, pour démontrer des actes de harcèlement sexuel, la demanderesse se fonde sur des faits non constatés par la cour cantonale, ses critiques ne sont pas admissibles (cf. supra consid. 2). Si l'on s'en tient aux éléments figurant dans l'arrêt attaqué, il ressort que, dans la société défenderesse, chacun s'exprimait de façon crue et ce depuis de nombreuses années, sans qu'il n'ait été constaté que la demanderesse se serait plainte des propos de ses collègues auprès de son employeur. Si le langage utilisé n'était pas des plus châtié, rien ne permet d'en conclure qu'il ait eu une connotation sexuelle ou qu'il ait été grossier au point de pouvoir être qualifié de comportement importun de caractère sexuel. Dans ce contexte, le fait que D.________ ait traité la recourante de "conne", voire d'"arpette", dans le feu de l'action, notamment parce qu'elle n'avait pas réservé correctement un billet d'avion, ou qu'il soit arrivé au rédacteur en chef, à des moments bien précis, dans le stress d'une agence de presse en fin de journée, de dire que les articles de la demanderesse étaient de la "merde", s'avère certes critiquable, mais ces remarques trop vives étaient dues à de l'énervement et à la mauvaise qualité du travail. Objectivement fondées et exprimées dans le langage habituel de l'agence, de telles critiques ne suffisent pas pour conclure à du harcèlement sexuel. Il en va de même de l'appellation "belle enfant" utilisée par B.________ pour désigner la demanderesse, dès lors qu'il a été constaté que celui-ci faisait preuve d'aménité à l'égard de cette employée, qui par ailleurs ne s'offusquait pas d'être désignée ainsi. La demanderesse ne peut davantage se plaindre de ce que, jusqu'en 1995, C.________ l'ait parfois appelée "bichounette", celle-ci lui répondant alors "bichounet". En effet, il régnait à cette époque, dans l'agence, une ambiance détendue et les relations de travail étaient bonnes, de sorte que l'on ne saurait y voir des propos déplacés, de nature à rendre le climat de travail hostile. De plus, à partir de 1995, dès que C.________ est devenu officiellement directeur, soit le supérieur de la demanderesse, il a cessé de l'appeler ainsi. Enfin, si B.________ a parfois demandé à la demanderesse de lui faire un café, il a été retenu que d'autres collaborateurs de sexe masculin ne rechignaient pas à rendre ce service. En pareilles circonstances, la cour cantonale pouvait, sans violer le droit fédéral, nier l'existence de harcèlement sexuel.</w:t>
      </w:r>
    </w:p>
    <w:p>
      <w:r>
        <w:rPr>
          <w:b/>
        </w:rPr>
        <w:t>E. 4</w:t>
      </w:r>
    </w:p>
    <w:p>
      <w:r>
        <w:t>Invoquant l' art. 328 CO , la demanderesse reproche également à la cour cantonale de ne pas avoir retenu qu'elle avait été victime de harcèlement moral (mobbing).</w:t>
      </w:r>
    </w:p>
    <w:p>
      <w:r>
        <w:rPr>
          <w:b/>
        </w:rPr>
        <w:t>E. 4.1</w:t>
      </w:r>
    </w:p>
    <w:p>
      <w:r>
        <w:t>L'employeur qui n'empêche pas que son employé subisse un mobbing contrevient à l' art. 328 CO ( ATF 125 III 70 consid. 2a p. 73).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non publié 2C.2/2002 du 4 avril 2003, consid. 2.3). II n'y a toutefois pas harcèlement psychologique du seul fait qu'un conflit existe dans les relations professionnelles, qu'il règne une mauvaise ambiance de travail,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du personnel.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du Tribunal fédéral non publié 2P.207/2002 du 20 juin 2003, consid. 4.2).</w:t>
      </w:r>
    </w:p>
    <w:p>
      <w:r>
        <w:rPr>
          <w:b/>
        </w:rPr>
        <w:t>E. 4.2</w:t>
      </w:r>
    </w:p>
    <w:p>
      <w:r>
        <w:t>Pour démontrer le mobbing, la demanderesse se fonde à nouveau sur d'autres éléments que ceux retenus dans l'arrêt attaqué, se contentant d'une approche partielle de la réalité, limitée aux déclarations des témoins favorables à sa thèse. Dès lors qu'il ne saurait en être tenu compte en instance de réforme ( art. 63 al. 2 OJ ), le grief de la demanderesse perd toute consistance. Quoi qu'en dise l'ancienne employée, les faits constatés ne permettent pas d'en déduire que la défenderesse ou ses collègues se seraient acharnés sur elle, en vue de la marginaliser ou de l'exclure de son lieu de travail, par des propos ou des agissements hostiles et répétés. Il a au contraire été constaté que le comportement de la demanderesse avait changé en 1995, non pas à cause d'actes de mobbing, mais en raison de la déception de ne pas avoir été nommée cheffe de la rubrique football et d'épisodes dépressifs, liés à des problèmes de concentration. La demanderesse s'était ainsi progressivement isolée et était devenue agressive, manifestant une insatisfaction quasi-permanente et une susceptibilité exacerbée, rendant impossible les relations de travail avec ses collègues, en particulier de sexe féminin. Quant aux reproches formulés par l'employeur, ils reposaient sur des faits objectifs et ne constituaient pas de faux prétextes destinés à écarter une collaboratrice de l'entreprise. Bien que la dégradation de ses relations de travail ait pu être ressentie de manière douloureuse par la demanderesse, on ne discerne pas dans les éléments retenus un faisceau d'indices permettant d'en conclure à du mobbing.</w:t>
      </w:r>
    </w:p>
    <w:p>
      <w:r>
        <w:rPr>
          <w:b/>
        </w:rPr>
        <w:t>E. 5</w:t>
      </w:r>
    </w:p>
    <w:p>
      <w:r>
        <w:t>La demanderesse invoque en vain le caractère abusif du congé au sens des art. 336 al. 1 CO et 2 CC, au motif que l'employeur aurait été responsable de ses difficultés professionnelles à l'origine du licenciement. Selon la jurisprudence, un licenciement peut être qualifié d'abusif lorsqu'il est prononcé en raison des mauvaises prestations du travailleur, si celles-ci se révèlent être consécutives à un mobbing ( ATF 125 III 70 consid. 2a p. 72 s.). En l'occurrence, on vient de voir que les éléments figurant dans l'arrêt attaqué ne permettent pas d'en conclure à l'existence d'actes de harcèlement sexuel ou de mobbing à l'encontre de la demanderesse. Par conséquent, on ne voit pas que l'employeur puisse être tenu pour responsable de la baisse de la qualité des prestations de la demanderesse et de son comportement difficile à l'origine du licenciement. En considérant que le congé signifié à la demanderesse n'était pas abusif, les juges cantonaux n'ont donc pas violé le droit fédéral.</w:t>
      </w:r>
    </w:p>
    <w:p>
      <w:r>
        <w:rPr>
          <w:b/>
        </w:rPr>
        <w:t>E. 6</w:t>
      </w:r>
    </w:p>
    <w:p>
      <w:r>
        <w:t>La recourante soutient que la cour cantonale a grossièrement contrevenu aux art. 3 et 6 LEg ., dès lors qu'elle aurait été discriminée en raison de la nomination de B.________ au poste de responsable de la rubrique football.</w:t>
      </w:r>
    </w:p>
    <w:p>
      <w:r>
        <w:rPr>
          <w:b/>
        </w:rPr>
        <w:t>E. 6.1</w:t>
      </w:r>
    </w:p>
    <w:p>
      <w:r>
        <w:t>L' art. 3 al. 2 LEg . réprime notamment la discrimination à la promotion. Il y a discrimination prohibée en particulier lorsqu'une femme n'est pas retenue pour une promotion, alors qu'elle est mieux qualifiée qu'un collègue masculin promu ou que les femmes ne sont généralement pas promues à certains postes (pour d'autres exemples, cf. Freivogel, Commentaire de la loi sur l'égalité, Lausanne 2000, no 66 ad art. 3 LEg .). L' art. 6 LEg . introduit en ce domaine un assouplissement du fardeau de la preuve par rapport au principe général de l' art. 8 CC , dans la mesure où il suffit à la partie demanderesse de rendre vraisemblable l'existence de la discrimination dont elle se prévaut ( ATF 130 III 145 consid. 4.2; 127 III 207 consid. 3b). Pour sa part, le juge n'a pas à être convaincu du bien-fondé des arguments de la partie demanderesse; il doit simplement disposer d'indices objectifs suffisants pour que les faits allégués présentent une certaine vraisemblance, sans devoir exclure qu'il puisse en aller différemment ( ATF 130 III 145 consid. 4.2 p. 162 et les référence citées).</w:t>
      </w:r>
    </w:p>
    <w:p>
      <w:r>
        <w:rPr>
          <w:b/>
        </w:rPr>
        <w:t>E. 6.2</w:t>
      </w:r>
    </w:p>
    <w:p>
      <w:r>
        <w:t>Lorsque la défenderesse affirme que la discrimination a été rendue vraisemblable en renvoyant à son mémoire d'appel, son grief n'est pas recevable (cf. art. 55 al. 1 let . c OJ; ATF 115 II 83 consid. 3 p. 85; 110 II 74 consid. I/1 p. 78).</w:t>
      </w:r>
    </w:p>
    <w:p>
      <w:r>
        <w:rPr>
          <w:b/>
        </w:rPr>
        <w:t>E. 6.3</w:t>
      </w:r>
    </w:p>
    <w:p>
      <w:r>
        <w:t>Sur la base des faits constatés, il apparaît que B.________ a été désigné comme chef de la rubrique football en fonction de critères objectifs, car il était un journaliste réputé, fondateur de la société défenderesse, qui connaissait très bien le football. Il était ainsi particulièrement qualifié pour exercer cette fonction. Quant à la demanderesse, elle avait une meilleure maîtrise des outils informatiques et des langues, mais moins d'expérience. En outre, elle n'avait même pas postulé. Aucun de ces éléments ne laissant transparaître la vraisemblance d'une discrimination à la promotion, les juges cantonaux n'ont violé ni l'art. 3 ni l' art. 6 LEg . en ne retenant pas celle-ci. La demanderesse indique également qu'elle aurait été discriminée dans l'attribution des tâches et l'aménagement des conditions de travail, mais sans expliquer à quel propos la cour cantonale aurait dû retenir de telles discriminations, de sorte que ses critiques ne sont pas recevables ( art. 55 al. 1 let . c OJ).</w:t>
      </w:r>
    </w:p>
    <w:p>
      <w:r>
        <w:rPr>
          <w:b/>
        </w:rPr>
        <w:t>E. 7</w:t>
      </w:r>
    </w:p>
    <w:p>
      <w:r>
        <w:t>La demanderesse soutient encore que l'arrêt attaqué méconnaît l' art. 357 CO , dès lors qu'il rejette ses prétentions salariales fondées sur les salaires prévus par la Convention collective URJ/FSJ, alors que les parties se sont référées à ce texte dans le contrat de travail.</w:t>
      </w:r>
    </w:p>
    <w:p>
      <w:r>
        <w:rPr>
          <w:b/>
        </w:rPr>
        <w:t>E. 7.1</w:t>
      </w:r>
    </w:p>
    <w:p>
      <w:r>
        <w:t>Ce faisant, la demanderesse confond les effet directs et impératifs avec les effets indirects que peuvent déployer les conventions collectives de travail (CCT). Il découle de l' art. 357 al. 1 CO que les clauses relatives notamment au contenu des contrats individuels de travail n'ont en principe d'effet direct et impératif qu'envers les employeurs et travailleurs qu'elles lient. De telles clauses s'appliquent automatiquement, sans incorporation dans le contrat de travail, et les parties ne peuvent y déroger contractuellement au détriment du salarié (cf. Aubert, Commentaire romand, no 3 s. ad art. 357 CO ). Comme l'indique expressément l' art. 357 al. 1 CO , ces effets supposent que les deux parties sont liées. Tel est le cas si l'employeur est personnellement partie à la convention, si l'employeur et le travailleur sont membres d'une association contractante ( art. 356 al. 1 CO ), ou encore si l'employeur et le travailleur ont fait une déclaration de soumission volontaire au sens de l' art. 356b CO et ont obtenu le consentement des parties (cf. ATF 123 III 129 consid. 3a; Streiff/von Kaenel, Leitfaden zum Arbeitsvertragsrecht, 5e éd. Zurich 1992, art. 356b CO no 2 s.). Par ailleurs, le champ d'application de la CCT peut être étendu par décision d'une autorité cantonale ou fédérale (art. 1 de la loi fédérale du 28 septembre 1956 permettant d'étendre le champ d'application de la convention collective de travail; RS 221.215.311), de sorte que ses clauses s'appliquent également aux employeurs et travailleurs auxquels elle est étendue ( ATF 123 III 129 consid. 3a). S'agissant des contrats individuels de travail conclus par des employeurs ou des travailleurs non liés, la CCT ne déploie qu'un effet indirect si les parties conviennent de l'appliquer en l'intégrant au contrat. Dans cette hypothèse, la convention ne produit aucun effet impératif, les parties restant libres d'y déroger au détriment du travailleur (Aubert, op. cit., no 8 ad art. 357 CO ).</w:t>
      </w:r>
    </w:p>
    <w:p>
      <w:r>
        <w:rPr>
          <w:b/>
        </w:rPr>
        <w:t>E. 7.2</w:t>
      </w:r>
    </w:p>
    <w:p>
      <w:r>
        <w:t>Le contrat de travail conclu entre les parties en 1995 contenait une clause renvoyant, pour tous les points qu'il ne traitait, pas au Code des obligations et à la Convention collective de travail URJ/FSJ, soit à la CCT conclue entre l'Union romande des éditeurs de journaux et périodiques (URJ) et la Fédération suisse des journalistes (FSJ) du 23 décembre 1994. Or, la défenderesse n'était pas membre de l'URJ ni personnellement partie à la CCT et il n'a pas été allégué qu'elle aurait fait une déclaration de soumission volontaire admise par les parties à la convention au sens de l' art. 356b CO . En outre, la CCT en cause n'a pas été étendue. Par conséquent, le renvoi figurant dans le contrat de travail ne pouvait que déployer des effets indirects, de sorte que les parties restaient libres de déroger au salaire prévu conventionnellement. Ainsi, la défenderesse n'était pas tenue d'octroyer à la demanderesse les augmentations de salaire prévues par le tarif conventionnel. En rejetant les prétentions formulées sur cette base, la cour cantonale n'a donc en rien méconnu le droit fédéral. Dans ces circonstances, le recours doit être rejeté dans la mesure où il est recevable.</w:t>
      </w:r>
    </w:p>
    <w:p>
      <w:r>
        <w:rPr>
          <w:b/>
        </w:rPr>
        <w:t>E. 8</w:t>
      </w:r>
    </w:p>
    <w:p>
      <w:r>
        <w:t>Une partie des prétentions réclamées par la demanderesse repose sur l'existence de discriminations à raison du sexe et, dans la présente procédure, celle-ci conteste notamment le refus de la cour cantonale d'admettre des violations de la LEg. Il se justifie donc de ne pas percevoir de frais (cf. art. 12 al. 2 LEg .- RS 151.1 - et art. 343 al. 3 CO ). Cela ne dispense pas la demanderesse, qui succombe, de verser des dépens à la défenderesse ( art.159 al.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