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4C.273/2006 vom 6. Dezember 2006</w:t>
      </w:r>
    </w:p>
    <w:p>
      <w:r>
        <w:t>Bundesgericht, 2006-12-06, FR</w:t>
      </w:r>
    </w:p>
    <w:p>
      <w:r>
        <w:rPr>
          <w:b/>
        </w:rPr>
        <w:t xml:space="preserve">Quelle: </w:t>
      </w:r>
      <w:r>
        <w:t>https://mcp.opencaselaw.ch/entscheid/bger_4C.273_2006</w:t>
      </w:r>
    </w:p>
    <w:p>
      <w:r>
        <w:t>FR: TF 4C.273/2006 du 6 décembre 2006</w:t>
      </w:r>
    </w:p>
    <w:p>
      <w:r>
        <w:t>IT: TF 4C.273/2006 del 6 dicembre 2006</w:t>
      </w:r>
    </w:p>
    <w:p>
      <w:pPr>
        <w:pStyle w:val="Heading2"/>
      </w:pPr>
      <w:r>
        <w:t>Regeste</w:t>
      </w:r>
    </w:p>
    <w:p>
      <w:r>
        <w:t>contrat de vente; garantie pour les défauts | Droit des contrats</w:t>
      </w:r>
    </w:p>
    <w:p>
      <w:pPr>
        <w:pStyle w:val="Heading2"/>
      </w:pPr>
      <w:r>
        <w:t>Erwägungen</w:t>
      </w:r>
    </w:p>
    <w:p>
      <w:r>
        <w:rPr>
          <w:b/>
        </w:rPr>
        <w:t>E. 1.1</w:t>
      </w:r>
    </w:p>
    <w:p>
      <w:r>
        <w:t>Exercé par la demanderesse, qui a été déboutée de ses conclusions,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b et 54 al. 1 OJ)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 En l'espèce, la demanderesse sollicite que la constatation de la cour cantonale selon laquelle "c'est six à huit mois après la prise de possession que (la demanderesse) a remarqué que le carrelage présentait des défauts" et que "c'est à une date indéterminée que (la demanderesse) a noté un défaut de la hotte aspirante en corrélation avec la cheminée" soit "complétée par le propre aveu de la défenderesse", selon lequel se serait immédiatement après la prise de possession des locaux que l'acquéreuse aurait annoncé ces défauts aux vendeurs. Dans la mesure où, par cette requête, la demanderesse tente en réalité de revenir sur l'appréciation des preuves à l'issue de laquelle la cour cantonale a considéré que l'acquéreuse n'avait pas établi avoir donné l'avis des défauts avant septembre 1994, d'une manière qui n'a pas été taxée d'arbitraire dans l'arrêt rendu sur le recours de droit public déposé parallèlement, il ne saurait y être donné suite.</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demanderesse reproche premièrement à la cour cantonale d'avoir violé les art. 197 ss CO en admettant en l'espèce l'existence d'une clause exclusive de garantie. Selon elle, il serait faux de dire que l'acte de vente contenait une clause exclusive de garantie "claire", alors que la clause selon laquelle "l'appartement est vendu tel que vu et se trouvant à ce jour" serait au contraire une clause typique "de style". La clause "les retouches à effectuer sont à la charge de la partie venderesse" n'aurait rien à voir avec la garantie des défauts. Enfin, la clause "la partie venderesse cède à la partie acquéreuse la garantie pour les défauts cachés" ne serait pas une clause exclusive de garantie pour les défauts; elle serait totalement isolée, accompagnée d'aucune explication et à ce point mal rédigée que la cour cantonale ne saurait y voir une clause exclusive de responsabilité sans violer le droit fédéral. Que ce soit prises isolément ou considérées comme un tout, ces clauses ne pourraient pas être interprétées comme une exclusion de garantie. Subsidiairement, même si une clause exclusive de garantie devait être retenue, elle ne vaudrait pas pour les défauts avec l'existence desquels un acheteur ne devait pas compter. Or, il serait notoire qu'un défaut affectant d'une part tout le carrelage, d'autre part la ventilation ne pouvait être attendu dans un appartement neuf.</w:t>
      </w:r>
    </w:p>
    <w:p>
      <w:r>
        <w:rPr>
          <w:b/>
        </w:rPr>
        <w:t>E. 2.1</w:t>
      </w:r>
    </w:p>
    <w:p>
      <w:r>
        <w:t>Selon la jurisprudence, l'exclusion conventionnelle de certaines qualités déterminées de la chose vendue, à supposer qu'elle soit admissible à la lumière de l' art. 199 CO , fait obstacle aux droits que l'acheteur peut déduire du régime légal de la garantie pour les défauts ( art. 197 ss CO ). En outre, l'acheteur qui accepte de conclure la vente malgré la présence d'une clause de ce type assume le risque que soient absentes les qualités de la chose pour lesquelles il n'a pas obtenu de garantie, de sorte que la loyauté commerciale ne lui permet plus de considérer la présence de telles qualités comme un élément nécessaire du contrat et d'invoquer sur ce point l'erreur de base instaurée par l' art. 24 al. 1 ch. 4 CO ( ATF 126 III 59 consid. 3 et les références citées; plus récemment arrêt 4C.227/2003 du 9 décembre 2004, consid. 5.1). A propos de la validité des clauses exclusives ou limitatives de la responsabilité, l' art. 199 CO prévoit que toute clause qui supprime ou restreint la garantie est nulle si le vendeur a frauduleusement dissimulé à l'acheteur les défauts de la chose; ces clauses ne sauraient être invoquées à l'encontre d'un défaut de la chose vendue totalement étranger aux éventualités qu'un acheteur raisonnable doit prendre en compte ( ATF 126 III 59 consid. 4a et les arrêts cités; plus récemment arrêt 4C.227/2003 du 9 décembre 2004, consid. 5.2.1). La détermination de la portée d'une clause excluant ou limitant la responsabilité du vendeur ressortit à l'interprétation du contrat ( ATF 130 III 686 consid. 4.3; 126 III 59 consid. 5a et l'arrêt cité; plus récemment 4C.227/2003 du 9 décembre 2004, consid. 5.2.1). Si la cour cantonale parvient à se convaincre d'une commune et réelle intention des parties, il s'agit d'une constatation de fait qui, sous réserve des exceptions prévues aux art. 63 al. 2 et 64 OJ , ne peut être remise en cause dans un recours en réforme ( ATF 131 III 606 consid. 4.1 p. 611; 128 III 419 consid. 2.2 p. 422). Dans la mesure où la volonté réelle et commune des parties n'a pas pu être constatée, la clause en question doit être interprétée selon la théorie de la confiance. Comme la clause doit exprimer clairement la volonté des parties, elle doit être interprétée restrictivement ( ATF 126 III 59 consid. 5a et les arrêts cités; plus récemment 4C.227/2003 du 9 décembre 2004, consid. 5.2.1).</w:t>
      </w:r>
    </w:p>
    <w:p>
      <w:r>
        <w:rPr>
          <w:b/>
        </w:rPr>
        <w:t>E. 2.2</w:t>
      </w:r>
    </w:p>
    <w:p>
      <w:r>
        <w:t>En l'espèce, la cour cantonale a retenu que "selon la volonté concordante des parties, les défendeurs se sont dès lors affranchis de toute garantie tant pour les défauts apparents que pour les défauts cachés". Les juges cantonaux sont ainsi parvenus à se convaincre de la commune et réelle intention des parties, conclusion qui ne peut plus être contestée dans le cadre d'un recours en réforme. En conséquence, l'application du principe de la confiance n'entre pas en ligne de compte et l'argumentation de la demanderesse est vaine. Pour le surplus, celle-ci ne fait pas apparaître en quoi la cour cantonale aurait violé le droit fédéral et l'on ne voit en particulier pas que cette dernière ait erré en considérant que les défauts litigieux ne sortaient pas du champ d'application que l'acquéreuse pouvait légitimement attribuer à la clause exclusive de garantie. Peu importe, de toute façon, dès lors que les précédents juges ont rejeté les prétentions de la demanderesse pour un autre motif encore, à juste titre comme on va le voir.</w:t>
      </w:r>
    </w:p>
    <w:p>
      <w:r>
        <w:rPr>
          <w:b/>
        </w:rPr>
        <w:t>E. 3</w:t>
      </w:r>
    </w:p>
    <w:p>
      <w:r>
        <w:t>La demanderesse reproche en outre aux précédents juges d'avoir méconnu l' art. 201 CO en admettant la tardiveté de l'avis des défauts. Elle part de la prémisse que c'est après la prise de possession, soit dès le 1er octobre 1993, qu'elle a fait mention des défauts. Nonobstant cet élément de fait, il ressortirait des déclarations des défendeurs et de leurs écritures en cause qu'ils ne s'étaient jamais opposés à l'existence des défauts litigieux et avaient tenté de les réparer. En affirmant que l'avis des défauts était tardif, la cour cantonale violerait le droit fédéral en ne sanctionnant pas l'attitude contraire à la bonne foi des défendeurs.</w:t>
      </w:r>
    </w:p>
    <w:p>
      <w:r>
        <w:rPr>
          <w:b/>
        </w:rPr>
        <w:t>E. 3.1</w:t>
      </w:r>
    </w:p>
    <w:p>
      <w:r>
        <w:t>Conformément aux règles de la vente mobilière, applicables par analogie aux ventes d'immeubles ( art. 221 CO ), l'acheteur doit vérifier l'état de la chose reçue aussitôt qu'il le peut d'après la marche habituelle des affaires et aviser sans délai le vendeur s'il découvre des défauts dont celui-ci est garant ( art. 201 al. 1 CO ). S'il ne procède pas ainsi, la chose est tenue pour acceptée, à moins qu'il ne s'agisse de défauts que l'acheteur ne pouvait découvrir à l'aide des vérifications usuelles ( art. 201 al. 2 CO ).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 ATF 107 II 172 consid. 1a; plus récemment arrêt 4C.82/2001 du 4 septembre 2001, consid. 3b/aa). L' art. 201 CO , d'après lequel l'acheteur doit aviser le vendeur sans délai, est d'application stricte ( ATF 107 II 172 consid. 1a; plus récemment arrêt 4C.82/2001 du 4 septembre 2001, consid. 3b/aa). En vertu de la règle générale de l' art. 8 CC , il incombe à l'acheteur, qui se prévaut des art. 197 ss CO , de prouver que l'avis des défauts a été donné en temps utile; il lui appartient aussi d'établir à quel moment il a eu connaissance des défauts, à qui et comment il les a signalés ( ATF 118 II 142 consid. 3a p. 147; 107 II 172 consid. 1a in fine; plus récemment arrêt 4C.82/2001 du 4 septembre 2001, consid. 3b/aa).</w:t>
      </w:r>
    </w:p>
    <w:p>
      <w:r>
        <w:rPr>
          <w:b/>
        </w:rPr>
        <w:t>E. 3.2</w:t>
      </w:r>
    </w:p>
    <w:p>
      <w:r>
        <w:t>Force est de constater que l'argumentation de la demanderesse repose sur un état de fait non conforme à celui retenu souverainement par l'autorité cantonale et qui n'a pas été considéré comme arbitraire par la Cour de céans statuant sur le recours de droit public, concernant en particulier le moment de l'avis des défauts et un prétendu engagement des défendeurs de remédier aux défauts. Dans cette mesure, elle revêt un caractère appellatoire manifeste et est irrecevable dans un recours en réforme (cf. consid. 1.2). Pour le surplus, le Tribunal fédéral a effectivement eu à connaître d'une affaire dans laquelle les vendeurs avaient accepté, lors d'une entrevue, de soumettre à expertise le problème d'isolation phonique soulevé par l'acheteuse et d'assumer les frais d'expertise au cas où celle-ci tournerait à leur désavantage, manifestant de la sorte leur volonté d'entrer en matière. A cette occasion, la Cour de céans avait considéré qu'en invoquant ultérieurement la tardiveté de l'avis des défauts, les vendeurs avaient adopté une attitude incompatible avec les règles de la bonne foi (cf. arrêt 4C.82/2001 du 4 septembre 2001, consid. 3c). Cet exemple n'est toutefois pas pertinent dans la présente affaire, puisqu'il a été établi en fait que les défendeurs ne sont intervenus que pour effectuer les finitions qu'ils s'étaient engagés à faire, en leur qualité de vendeurs, voire en rapport avec les ouvrages réalisés par le défendeur, en sa qualité d'entrepreneur, à l'exclusion de la réparation éventuelle des défauts relevés par la demanderesse. Il résulte de ce qui précède que la cour cantonale n'a pas davantage violé le droit fédéral en rejetant derechef les prétentions de la demanderesse en raison de la tardiveté de l'avis des défauts.</w:t>
      </w:r>
    </w:p>
    <w:p>
      <w:r>
        <w:rPr>
          <w:b/>
        </w:rPr>
        <w:t>E. 4</w:t>
      </w:r>
    </w:p>
    <w:p>
      <w:r>
        <w:t>En définitive, le recours doit être rejeté dans la mesure de sa recevabilité.</w:t>
      </w:r>
    </w:p>
    <w:p>
      <w:r>
        <w:rPr>
          <w:b/>
        </w:rPr>
        <w:t>E. 5</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