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4C.271/2003 vom 17. Februar 2004</w:t>
      </w:r>
    </w:p>
    <w:p>
      <w:r>
        <w:t>Bundesgericht, 2004-02-17, DE</w:t>
      </w:r>
    </w:p>
    <w:p>
      <w:r>
        <w:rPr>
          <w:b/>
        </w:rPr>
        <w:t xml:space="preserve">Quelle: </w:t>
      </w:r>
      <w:r>
        <w:t>https://mcp.opencaselaw.ch/entscheid/bger_4C.271_2003</w:t>
      </w:r>
    </w:p>
    <w:p>
      <w:r>
        <w:t>FR: TF 4C.271/2003 du 17 février 2004</w:t>
      </w:r>
    </w:p>
    <w:p>
      <w:r>
        <w:t>IT: TF 4C.271/2003 del 17 febbraio 2004</w:t>
      </w:r>
    </w:p>
    <w:p>
      <w:pPr>
        <w:pStyle w:val="Heading2"/>
      </w:pPr>
      <w:r>
        <w:t>Erwägungen</w:t>
      </w:r>
    </w:p>
    <w:p>
      <w:r>
        <w:rPr>
          <w:b/>
        </w:rPr>
        <w:t>E. 1.1</w:t>
      </w:r>
    </w:p>
    <w:p>
      <w:r>
        <w:t>Die Begründungen der staatsrechtlichen Beschwerde und der Berufung stimmen weitgehend überein. Bei dieser Sachlage ist nach der Rechtsprechung ein strenger Massstab an die formellen Erfordernisse ( Art. 55 Abs. 1 lit. c, Art. 90 Abs. 1 lit. b OG ) der beiden Rechtsmittel anzulegen ( BGE 116 II 745 E. 2b S. 748).</w:t>
      </w:r>
    </w:p>
    <w:p>
      <w:r>
        <w:rPr>
          <w:b/>
        </w:rPr>
        <w:t>E. 1.2</w:t>
      </w:r>
    </w:p>
    <w:p>
      <w:r>
        <w:t>Gemäss Art. 55 Abs. 1 lit. c OG muss in der Berufungsschrift dargelegt werden, welche Bundesrechtssätze und inwiefern sie durch den angefochtenen Entscheid verletzt worden sind. Die Gesetzesartikel brauchen allerdings nicht ausdrücklich genannt zu werden, falls aus den Vorbringen hervorgeht, gegen welche Regeln des Bundesprivatrechts die Vorinstanz verstossen haben soll. Unerlässlich ist aber, dass die Berufung auf die Begründung des angefochtenen Entscheids eingeht und im Einzelnen darlegt, welche Vorschriften und warum sie von der Vorinstanz verletzt worden sind. Allgemein gehaltene Einwände, die ohne aufgezeigten oder erkennbaren Zusammenhang mit bestimmten Entscheidungsgründen der Vorinstanz vorgebracht werden, genügen diesen Anforderungen nicht. Unzulässig sind sodann Rügen, die sich gegen die tatsächlichen Feststellungen und die Beweiswürdigung der Vorinstanz richten. Vorbehalten bleiben lediglich die in Art. 63 Abs. 2 und Art. 64 OG erwähnten Ausnahmen ( BGE 116 II 745 E. 3 S. 748 f.).</w:t>
      </w:r>
    </w:p>
    <w:p>
      <w:r>
        <w:rPr>
          <w:b/>
        </w:rPr>
        <w:t>E. 2.1</w:t>
      </w:r>
    </w:p>
    <w:p>
      <w:r>
        <w:t>Nach Auffassung der Vorinstanz handelt es sich bei der von den Parteien als "Reservationsvertrag" bezeichneten Vereinbarung um einen Vorvertrag über den Kauf der darin erwähnten Landparzellen. Art. 22 OR schreibe vor, dass Vorverträge denselben Formvorschriften wie der Hauptvertrag unterliegen. Da Grundstückkaufverträge gemäss Art. 216 Abs. 2 OR öffentlich zu beurkunden seien, müssten auch Vorverträge zu Grundstückkaufverträgen öffentlich beurkundet werden. Auch die Klausel über den Verfall der Anzahlung, bei der es sich um eine Abrede eines Reugeldes bzw. einer Konventionalstrafe handle, sei von der gesetzlichen Formvorschrift erfasst. In der vorliegenden Streitsache sei der Reservationsvertrag mangels öffentlicher Beurkundung formungültig und damit nichtig.</w:t>
      </w:r>
    </w:p>
    <w:p>
      <w:r>
        <w:t>Gemäss dem angefochtenen Urteil verhält sich die Klägerin nicht rechtsmissbräuchlich, indem sie sich für die Rückerstattung der geleisteten Anzahlung auf den Formmangel des Reservationsvertrags beruft. Ein Rechtsmissbrauch läge nur vor, wenn der Vertrag vollständig erfüllt worden wäre. Bei der geleisteten Anzahlung handle es sich aber nur um eine Teilerfüllung. Auch sonst sei auf Seiten der Klägerin kein rechtsmissbräuchliches Verhalten erkennbar. Insbesondere sei nicht erwiesen, dass die Klägerin vom gesetzlichen Formerfordernis der öffentlichen Beurkundung bei der Unterzeichnung des Reservationsvertrags Kenntnis hatte, was die nachträgliche Berufung auf den Formmangel als rechtsmissbräuchlich hätte erscheinen lassen. Die Klägerin habe somit einen bereicherungsrechtlichen Anspruch auf Rückerstattung der geleisteten Anzahlung von Fr. 50'000.--.</w:t>
      </w:r>
    </w:p>
    <w:p>
      <w:r>
        <w:rPr>
          <w:b/>
        </w:rPr>
        <w:t>E. 2.2</w:t>
      </w:r>
    </w:p>
    <w:p>
      <w:r>
        <w:t>Die Beklagte bringt vor, die Vorinstanz habe das Verbot des Rechtsmissbrauchs ( Art. 2 ZGB ) falsch angewendet. Sie beschränkt sich aber darauf, den Sachverhalt aus ihrer Sicht zu schildern sowie an den tatsächlichen Feststellungen und der Beweiswürdigung Kritik zu üben. Sie übersieht, dass die Vorinstanz für das Bundesgericht verbindlich festgestellt hat ( Art. 63 Abs. 2 OG ), dass es sich bei der Leistung der Klägerin im Betrag von Fr. 50'000.-- um eine Anzahlung an den Grundstückkaufpreis handelte. Mit den dagegen erhobenen Einwänden ist die Beklagte nicht zu hören ( Art. 55 Abs. 1 lit. c OG ). Ebenso wenig ist das Vorbringen zulässig, dass die Klägerin um das gesetzliche Formerfordernis hinsichtlich des "Reservationsvertrags" gewusst habe und die Berufung auf den Formmangel deshalb rechtsmissbräuchlich sei. Damit richtet sich die Beklagte gegen die Beweiswürdigung der Vorinstanz, wonach nicht erwiesen ist, dass die Klägerin vom gesetzlichen Formerfordernis Kenntnis hatte. Mit diesem Vorbringen ist die Beklagte im Berufungsverfahren ausgeschlossen ( Art. 55 Abs. 1 lit. c OG ).</w:t>
      </w:r>
    </w:p>
    <w:p>
      <w:r>
        <w:t>Die Beklagte unterlässt es, sich mit den rechtlichen Erwägungen der Vorinstanz eingehend auseinander zu setzen. Sie zeigt nicht auf, und es ist auch nicht ersichtlich, inwiefern die Vorinstanz Bundesrecht verletzt haben soll, indem sie den zwischen den Parteien geschlossenen Vertrag als Vorvertrag zu einem Grundstückkaufvertrag qualifiziert (vgl. Giger, Berner Kommentar, N 30 zu Art. 216 OR ), die Klausel über den Verfall der Anzahlung dem Formzwang unterstellt (Giger, a.a.O., N 253 zu Art. 216 OR ), die Berufung auf den Formmangel des Vertrags als nicht rechtsmissbräuchlich betrachtet (vgl. BGE 115 II 331 E. 5a S. 338; 104 II 99 E. 3 S. 101 ff.) und daraus einen Anspruch der Klägerin aus ungerechtfertigter Bereicherung ( Art. 62 Abs. 2 OR ) ableitet. Auf die Berufung ist daher nicht einzutreten.</w:t>
      </w:r>
    </w:p>
    <w:p>
      <w:r>
        <w:rPr>
          <w:b/>
        </w:rPr>
        <w:t>E. 3</w:t>
      </w:r>
    </w:p>
    <w:p>
      <w:r>
        <w:t>Auf die Berufung ist mangels zulässiger Rügen nicht einzutreten. Ausgangsgemäss wird die Beklagte kosten- und entschädigungspflichtig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