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4C.270/2003 vom 28. November 2003</w:t>
      </w:r>
    </w:p>
    <w:p>
      <w:r>
        <w:t>Bundesgericht, 2003-11-28, FR</w:t>
      </w:r>
    </w:p>
    <w:p>
      <w:r>
        <w:rPr>
          <w:b/>
        </w:rPr>
        <w:t xml:space="preserve">Quelle: </w:t>
      </w:r>
      <w:r>
        <w:t>https://mcp.opencaselaw.ch/entscheid/bger_4C.270_2003</w:t>
      </w:r>
    </w:p>
    <w:p>
      <w:r>
        <w:t>FR: TF 4C.270/2003 du 28 novembre 2003</w:t>
      </w:r>
    </w:p>
    <w:p>
      <w:r>
        <w:t>IT: TF 4C.270/2003 del 28 novembre 2003</w:t>
      </w:r>
    </w:p>
    <w:p>
      <w:pPr>
        <w:pStyle w:val="Heading2"/>
      </w:pPr>
      <w:r>
        <w:t>Regeste</w:t>
      </w:r>
    </w:p>
    <w:p>
      <w:r>
        <w:t>Assurance responsabilité civile</w:t>
      </w:r>
    </w:p>
    <w:p>
      <w:pPr>
        <w:pStyle w:val="Heading2"/>
      </w:pPr>
      <w:r>
        <w:t>Erwägungen</w:t>
      </w:r>
    </w:p>
    <w:p>
      <w:r>
        <w:rPr>
          <w:b/>
        </w:rPr>
        <w:t>E. 1</w:t>
      </w:r>
    </w:p>
    <w:p>
      <w:r>
        <w:t>Le Tribunal fédéral examine d'office et librement la recevabilité des recours en réforme qui lui sont soumis ( ATF 129 III 415 consid. 2.1).</w:t>
      </w:r>
    </w:p>
    <w:p>
      <w:r>
        <w:rPr>
          <w:b/>
        </w:rPr>
        <w:t>E. 1.1</w:t>
      </w:r>
    </w:p>
    <w:p>
      <w:r>
        <w:t>S'il ne fait pas de doute qu'un for existe en l'occurrence au lieu d'exploitation de la succursale (cf. art. 11 CPC /NE et art. 837 al. 3 aCO; actuellement art. 5 LFors , RS 272), on peut douter de la qualité de partie de la défenderesse, car il ne s'agit que de la succursale d'une société coopérative dont le siège principal se trouve à Zurich. Or, faute de jouir de la personnalité juridique, la succursale est dépourvue de la capacité d'être partie en justice ( ATF 120 III 11 consid. 1a). Toutefois, il y a lieu d'admettre, à l'instar de la pratique existant en matière de poursuite, que lorsque, dans le cadre d'une demande en justice, une succursale se voit attribuer la qualité de demanderesse ou défenderesse, alors qu'en réalité seule la société à laquelle elle appartient est visée, on se trouve en présence d'une simple désignation inexacte d'une partie (cf. ATF 120 III 11 consid. 1b p. 13). Cette irrégularité peut être rectifiée s'il n'y a pas d'équivoque sur la partie réellement concernée et que l'acte peut parvenir à son véritable destinataire (Poudret, COJ II, Berne 1990, art. 53 OJ no 2.4 p. 382 s.). En l'occurrence, le fait que la succursale ait été désignée en tant que partie à la procédure n'était pas de nature à induire les intéressés en erreur et il n'y a aucune difficulté à faire parvenir la décision à la société coopérative elle-même plutôt qu'à sa succursale, de sorte qu'il suffit de rectifier la désignation inexacte en indiquant, en qualité de défenderesse, la société coopérative zurichoise.</w:t>
      </w:r>
    </w:p>
    <w:p>
      <w:r>
        <w:rPr>
          <w:b/>
        </w:rPr>
        <w:t>E. 1.2</w:t>
      </w:r>
    </w:p>
    <w:p>
      <w:r>
        <w:t>Par ailleurs, interjeté par la partie qui a succombé dans ses conclusions libératoires et dirigé contre un jugement final rendu en dernière instance cantonale ( art. 9 et 21 let. a OJ /NE) par un tribunal supérieur ( art. 48 al. 1 OJ ) sur une contestation civile (cf. ATF 129 III 415 consid. 2.1 et les arrêts cités) dont la valeur litigieuse atteint le seuil de 8'000 fr. ( art. 46 OJ ), le recours en réforme est en principe recevable, puisqu'il a été déposé en temps utile ( art. 54 al. 1 OJ ) et dans les formes requises ( art. 55 OJ ).</w:t>
      </w:r>
    </w:p>
    <w:p>
      <w:r>
        <w:rPr>
          <w:b/>
        </w:rPr>
        <w:t>E. 2</w:t>
      </w:r>
    </w:p>
    <w:p>
      <w:r>
        <w:t>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et l'arrêt cité).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La défenderesse perd de vue ces principes, dès lors qu'à l'appui des violations du droit fédéral invoquées, elle critique les faits retenus par la cour cantonale, sans se prévaloir de l'une des exceptions lui permettant de s'en distancer, ce qui n'est pas admissible. Si elle souhaitait remettre en cause la façon dont les juges cantonaux ont apprécié les preuves et établi les faits, elle devait opter pour la voie du recours de droit public et non déposer un recours en réforme (cf. ATF 126 III 388 consid. 8a in fine). Comme seule cette dernière voie de droit a été utilisée, la Cour de céans examinera les griefs soulevés exclusivement à la lumière des faits ressortant du jugement entrepris.</w:t>
      </w:r>
    </w:p>
    <w:p>
      <w:r>
        <w:rPr>
          <w:b/>
        </w:rPr>
        <w:t>E. 3</w:t>
      </w:r>
    </w:p>
    <w:p>
      <w:r>
        <w:t>La défenderesse reproche en premier lieu à la cour cantonale d'avoir violé les art. 41 CO et 8 CC en admettant que sa responsabilité était engagée.</w:t>
      </w:r>
    </w:p>
    <w:p>
      <w:r>
        <w:rPr>
          <w:b/>
        </w:rPr>
        <w:t>E. 3.1</w:t>
      </w:r>
    </w:p>
    <w:p>
      <w:r>
        <w:t>Selon l' art. 899 al. 3 CO , la société coopérative répond des actes illicites commis dans la gestion des affaires sociales par une personne autorisée à la gérer ou à la représenter. Pour que la responsabilité de la personne morale soit engagée, il suffit que l'acte illicite entre dans le cadre général des attributions de la personne autorisée à gérer ou à représenter la société, peut importe que celle-ci ait agi dans son intérêt personnel et non dans celui de la société (cf. ATF 121 III 176 consid. 4a p. 180). Pour le reste, l'action est soumise aux autres conditions habituelles de la responsabilité délictuelle, à savoir un dommage, une faute et un lien de causalité (naturelle et adéquate) entre l'acte incriminé et le préjudice ( ATF 121 III 176 consid. 4a in fine). Il ressort du jugement attaqué que les actes reprochés à la défenderesse sont le fait du directeur de la succursale de la société, qui a établi, le 20 mai 1997, une demande d'acompte de 60'000 fr. Il s'agit donc d'une personne habilitée à gérer ou, à tout le moins, à représenter la société. Il a été retenu que celui-ci et G.________ se sont entendus pour que la dette de l'entrepreneur, que le directeur avait laissé augmenter en dépit des ordres reçus de Zurich, soit au moins partiellement amortie par le moyen d'une fausse demande d'acompte adressée par la défenderesse à la copropriété. Cette construction, qui n'a pu se réaliser qu'au su et avec l'intervention du directeur, s'est faite au préjudice des copropriétaires dont le compte a été débité, mais elle a profité à l'entrepreneur, qui a vu sa dette se réduire, et à la défenderesse, dont la créance a été en partie recouvrée. Il a également été constaté que la défenderesse savait ou pouvait savoir dès le départ que le virement de 60'000 fr. ne provenait pas de G.________, mais de la copropriété. Ces éléments font apparaître que les conditions de la responsabilité délictuelle de la défenderesse, qui, comme on l'a vu, répond des actes des personnes autorisées à la gérer ou à la représenter, sont réunies. En effet, le comportement du directeur, qui a mis en place avec l'entrepreneur un subterfuge destiné à tromper les copropriétaires en les amenant à faire, sur la base d'une fausse demande d'acompte, un versement au profit de l'entrepreneur et de la société est à l'évidence dolosif (cf. ATF 117 II 218 consid. 6a) et le dol, au sens de l' art. 28 CO , constitue un acte illicite ( ATF 108 II 419 consid. 5 et les références citées). Un tel comportement doit aussi être qualifié de fautif (cf. Engel, Traité des obligations en droit suisse, 2e éd. Berne 1997, p. 464). En outre, les actes du directeur sont dans une relation de causalité naturelle et adéquate (cf. sur ces notions: ATF 129 II 312 consid. 3.3 et les arrêts cités) avec le dommage subi par les demandeurs, qui n'ont pu recouvrer les 60'000 fr. versés, alors que la défenderesse a elle-même reconnu n'avoir fourni aucune prestation aux copropriétaires. Lorsque la défenderesse soutient qu'aucun élément ne permettait de retenir l'existence d'une quelconque malversation de sa part, elle remet en cause les constatations de fait et l'appréciation des preuves à laquelle s'est livrée la cour cantonale, ce qui n'est pas admissible dans un recours en réforme (cf. supra consid. 2). Quant à la violation de l' art. 8 CC invoquée également à ce propos, elle est dépourvue de tout fondement. En effet, dès que l'appréciation des preuves convainc le juge qu'une allégation de fait a été établie ou réfutée, la répartition du fardeau de la preuve devient sans objet ( ATF 128 III 271 consid. 2b/aa in fine; 122 III 219 consid. 3c p. 223 s). C'est précisément ce qui s'est produit en l'espèce, car les juges cantonaux ont tenu pour établi que l'entrepreneur et le directeur de la succursale s'étaient entendus sur la construction comptable ayant amené les demandeurs à procéder au versement des 60'000 fr. litigieux. On ne peut donc reprocher à la cour cantonale d'avoir admis le principe de la responsabilité délictuelle de la défenderesse.</w:t>
      </w:r>
    </w:p>
    <w:p>
      <w:r>
        <w:rPr>
          <w:b/>
        </w:rPr>
        <w:t>E. 4</w:t>
      </w:r>
    </w:p>
    <w:p>
      <w:r>
        <w:t>En second lieu, la défenderesse fait grief à la cour cantonale d'avoir rejeté l'exception de prescription qu'elle avait soulevée, au motif que cette prétention était abusive.</w:t>
      </w:r>
    </w:p>
    <w:p>
      <w:r>
        <w:rPr>
          <w:b/>
        </w:rPr>
        <w:t>E. 4.1</w:t>
      </w:r>
    </w:p>
    <w:p>
      <w:r>
        <w:t>Selon la jurisprudence, le débiteur commet un abus de droit ( art. 2 al. 2 CC )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 ATF 128 V 236 consid. 4a; 113 II 264 consid. 2e p. 269). L'abus de droit ne consiste pas dans le comportement du débiteur qui incite le créancier à ne pas entreprendre de démarches juridiques, mais dans le fait que le débiteur, après avoir eu ce comportement, se prévale de la prescription. Pour admettre un abus de droit, il faut que le comportement du débiteur soit en relation de causalité avec le retard à agir du créancier ( ATF 128 V 236 consid. 4a; cf. sur ce point, Engel, op. cit., p 802 s.). En l'espèce, la cour cantonale a relevé que, le 1er octobre 1998, la défenderesse a tout d'abord indiqué aux demandeurs, qui l'avaient interpellée sur leur versement de 60'000 fr., qu'elle n'avait rien reçu. Puis, le 18 juin 1999, elle a fini par admettre avoir touché un montant de 60'000 fr., mais elle a affirmé qu'il n'avait rien à voir avec les demandeurs et qu'elle ne disposait d'aucune pièce ou document et encore moins de compte au nom de la défenderesse (recte: de la copropriété). Il a cependant été constaté que ces deux réponses étaient clairement contraires aux pièces qui étaient dans les dossiers de la défenderesse. Face à de telles dénégations, les demandeurs pouvaient raisonnablement penser qu'ils n'avaient aucune chance d'obtenir la restitution de leur versement et il paraît compréhensible qu'ils n'aient pas agi avant le prononcé du jugement pénal de première instance, qui a notamment démontré que les documents sur la base desquels le versement de 60'000 fr. avait été opéré étaient faux. Par son attitude consistant à nier l'évidence, la défenderesse a ainsi indéniablement dissuadé les demandeurs à agir immédiatement, de sorte que la cour cantonale, en considérant que l'exception de prescription invoquée par la défenderesse était abusive, n'a en aucun cas violé l' art. 2 al. 2 CC . Dans ces circonstances, il n'y a pas lieu de se demander au surplus si l'action était ou non effectivement prescrite au moment du dépôt de la demande en justice, dès lors que cette question n'est pas de nature à modifier le résultat de la décision entreprise (cf. ATF 128 III 22 consid. 2e/cc p. 29). Le recours en réforme doit par conséquent être rejeté.</w:t>
      </w:r>
    </w:p>
    <w:p>
      <w:r>
        <w:rPr>
          <w:b/>
        </w:rPr>
        <w:t>E. 5</w:t>
      </w:r>
    </w:p>
    <w:p>
      <w:r>
        <w:t>Au vu de l'issue du litige, l'émolument judiciaire sera mis à la charge de la défenderesse, qui succombe ( art. 156 al. 1 OJ ). Celle-ci sera également condamnée à verser des dépens en faveur des demandeurs, créanciers solidaires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