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4C.262/2005 vom 22. November 2005</w:t>
      </w:r>
    </w:p>
    <w:p>
      <w:r>
        <w:t>Bundesgericht, 2005-11-22, FR</w:t>
      </w:r>
    </w:p>
    <w:p>
      <w:r>
        <w:rPr>
          <w:b/>
        </w:rPr>
        <w:t xml:space="preserve">Quelle: </w:t>
      </w:r>
      <w:r>
        <w:t>https://mcp.opencaselaw.ch/entscheid/bger_4C.262_2005</w:t>
      </w:r>
    </w:p>
    <w:p>
      <w:r>
        <w:t>FR: TF 4C.262/2005 du 22 novembre 2005</w:t>
      </w:r>
    </w:p>
    <w:p>
      <w:r>
        <w:t>IT: TF 4C.262/2005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juge de l'expulsion s'est prononcé sur la validité du congé à la suite de l'attraction de compétence prévue à l' art. 274g al. 1 let. a CO . De par le droit fédéral, cette décision est revêtue de l'autorité de la chose jugée ( ATF 122 III 92 consid. 2c p. 95 et les arrêts cités). L'arrêt attaqué est par conséquent final au sens de l' art. 48 al. 1 OJ ( ATF 119 II 241 consid. 5a p. 246).</w:t>
      </w:r>
    </w:p>
    <w:p>
      <w:r>
        <w:rPr>
          <w:b/>
        </w:rPr>
        <w:t>E. 1.2</w:t>
      </w:r>
    </w:p>
    <w:p>
      <w:r>
        <w:t>Pour le surplus, interjeté par la partie condamnée à évacuer les locaux loués et dirigé contre une décision rendue en dernière instance cantonale par un tribunal supérieur ( art. 48 al. 1 OJ ) dans une cause dont la valeur litigieuse dépasse manifestement le seuil de 8'000 fr. ( art. 46 OJ ), le recours est recevable, puisqu'il a été déposé en temps utile ( art. 54 al. 1 OJ ) et dans les formes requises ( art. 55 OJ ).</w:t>
      </w:r>
    </w:p>
    <w:p>
      <w:r>
        <w:rPr>
          <w:b/>
        </w:rPr>
        <w:t>E. 2.1</w:t>
      </w:r>
    </w:p>
    <w:p>
      <w:r>
        <w:t>Selon la défenderesse, le congé notifié le 10 août 2004 est nul, car il n'émane pas des bailleurs A.________ et B.________. Contrairement à ce que la cour cantonale a admis, l'avenant du 29 janvier 1998 n'établirait nullement que la demanderesse a «mis à disposition de la [défenderesse] les locaux en cause»; il résulterait de ce document uniquement le changement de locataire, et non de bailleur.</w:t>
      </w:r>
    </w:p>
    <w:p>
      <w:r>
        <w:rPr>
          <w:b/>
        </w:rPr>
        <w:t>E. 2.2</w:t>
      </w:r>
    </w:p>
    <w:p>
      <w:r>
        <w:t>La cour cantonale a constaté que la demanderesse est devenue propriétaire des locaux loués à une date indéterminée, postérieure à la conclusion du bail du 22 janvier 1997 mais antérieure à l'avenant du 29 janvier 1998. En cas de transfert de propriété résultant d'une vente, d'un échange, d'une donation, de l'apport à une société ou dans le cas de l'octroi d'un droit réel limité équivalant à un changement de propriété (Lachat, Le bail à loyer, p. 435), le bail passe à l'acquéreur, avec tous les droits et obligations qui lui sont attachés ( art. 261 al. 1 CO ). En l'espèce, aucun élément de l'arrêt attaqué ne permet d'admettre que la demanderesse ne serait pas devenue propriétaire des locaux en cause à la suite d'un tel transfert de propriété. C'est donc bien en qualité de bailleresse qu'elle a signé l'avenant du 29 janvier 1998; la demanderesse a donné ainsi son consentement écrit au transfert du bail commercial entre C.________ et la défenderesse, qui est devenue locataire ( art. 263 al. 1 CO ). Il convient d'observer au passage que, même si elle n'est pas une personne morale (Meier-Hayoz/Forstmoser, Schweizerisches Gesellschaftsrecht, 9e éd., p. 314, n. 18), la demanderesse, organisée sous forme de société en nom collectif, peut être partie au contrat de bail et actionner en justice, conformément à l' art. 562 CO .</w:t>
      </w:r>
    </w:p>
    <w:p>
      <w:r>
        <w:t>Il s'ensuit que la cour cantonale a admis à bon droit que les parties au procès étaient liées par un contrat de bail. Manifestement dilatoire, le recours ne peut être que rejeté.</w:t>
      </w:r>
    </w:p>
    <w:p>
      <w:r>
        <w:rPr>
          <w:b/>
        </w:rPr>
        <w:t>E. 3</w:t>
      </w:r>
    </w:p>
    <w:p>
      <w:r>
        <w:t>Vu le sort réservé au recours, les frais judiciaires seront mis à la charge de la défenderesse ( art. 156 al. 1 OJ ). Celle-ci n'aura pas à verser de dépens à la demanderesse, qui s'est abstenue de répondre au recours (cf. art. 159 al. 2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