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4C.262/2000 vom 15. Dezember 2000</w:t>
      </w:r>
    </w:p>
    <w:p>
      <w:r>
        <w:t>Bundesgericht, 2000-12-15, DE</w:t>
      </w:r>
    </w:p>
    <w:p>
      <w:r>
        <w:rPr>
          <w:b/>
        </w:rPr>
        <w:t xml:space="preserve">Quelle: </w:t>
      </w:r>
      <w:r>
        <w:t>https://mcp.opencaselaw.ch/entscheid/bger_4C.262_2000</w:t>
      </w:r>
    </w:p>
    <w:p>
      <w:r>
        <w:t>FR: TF 4C.262/2000 du 15 décembre 2000</w:t>
      </w:r>
    </w:p>
    <w:p>
      <w:r>
        <w:t>IT: TF 4C.262/2000 del 15 dicembre 2000</w:t>
      </w:r>
    </w:p>
    <w:p>
      <w:pPr>
        <w:pStyle w:val="Heading2"/>
      </w:pPr>
      <w:r>
        <w:t>Erwägungen</w:t>
      </w:r>
    </w:p>
    <w:p>
      <w:r>
        <w:rPr>
          <w:b/>
        </w:rPr>
        <w:t>E. 1</w:t>
      </w:r>
    </w:p>
    <w:p>
      <w:r>
        <w:t>Die Berufungsschrift muss die genaue Angabe enthalten, welche Punkte des Entscheides angefochten und welche Abänderungen beantragt werden ( Art. 55 Abs. 1 lit. b OG ).</w:t>
      </w:r>
    </w:p>
    <w:p>
      <w:r>
        <w:t>Anträge auf Rückweisung der Sache an die Vorinstanz zu neuer Entscheidung oder blosse Aufhebungsanträge genügen grundsätzlich nicht und machen den Berufungsantrag unzulässig.</w:t>
      </w:r>
    </w:p>
    <w:p>
      <w:r>
        <w:t>Ein blosser Rückweisungsantrag reicht indes nach ständiger Praxis aus, wenn das Bundesgericht, falls es die Rechtsauffassung des Berufungsklägers für begründet erachtet, kein Endurteil fällen kann, sondern die Sache zu weiteren Abklärungen an die Vorinstanz zurückweisen muss ( BGE 125 III 412 E. 1b S. 414). Diese Voraussetzung ist hier nicht gegeben.</w:t>
      </w:r>
    </w:p>
    <w:p>
      <w:r>
        <w:t>Der Beklagte begründet den Rückweisungsantrag damit, dass die Vorinstanz bestimmte Einwände und Einreden zu Unrecht für unzulässig betrachtet habe, weshalb sie darüber nach erfolgter Rückweisung zu entscheiden habe. Andererseits geht er aber in der Begründung der Eventualbegehren davon aus, dass das Bundesgericht über bestimmte Einwände oder Einreden selbst entscheiden und die Klage endgültig beurteilen könne.</w:t>
      </w:r>
    </w:p>
    <w:p>
      <w:r>
        <w:t>Damit erweist sich der Rückweisungsantrag als unzulässig.</w:t>
      </w:r>
    </w:p>
    <w:p>
      <w:r>
        <w:rPr>
          <w:b/>
        </w:rPr>
        <w:t>E. 2</w:t>
      </w:r>
    </w:p>
    <w:p>
      <w:r>
        <w:t>Auflage, Zürich 1987, S. 62 Rz. 108; ebenso für das revidierte Aktienrecht: Böckli, a.a.O., S. 1099 Rz. 2018a). Zudem konnte der Abtretungsgläubiger auch nach früherer Rechtsprechung Ersatz des vollen, vom Verantwortlichen verschuldeten Gesellschaftsschadens verlangen, und</w:t>
      </w:r>
    </w:p>
    <w:p>
      <w:r>
        <w:t>nicht nur Ersatz seines persönlich erlittenen Verlustes ( BGE 113 II 277 E. 3 S. 278 f. mit Hinweisen). Die Vorinstanz hat somit die erwähnten Einreden zu Recht als unzulässig betrachtet, womit sich die Berufung insoweit als unbegründet erweist.</w:t>
      </w:r>
    </w:p>
    <w:p>
      <w:r>
        <w:t>c) Der Beklagte kritisiert sodann die Feststellung der Vorinstanz, dass die Überschuldung im Zeitpunkt der Konkurseröffnung Fr. 591'976. 90 betragen habe. Die Vorinstanz stellt dabei auf den Umstand ab, dass im Konkurs Forderun- gen in diesem Gesamtbetrag zugelassen worden und mangels Aktiven ungedeckt geblieben sind. Der Beklagte bringt vor, die Vorinstanz hätte berücksichtigen müssen, dass er mit einer - gültig kollozierten - Forderung von Fr. 187'308. 25 gegen die X.________ verrechnen könne. Zudem habe die T.________ Immobilien AG darauf verzichtet, ihre mit Verlustschein ausgewiesene Forderung von Fr. 68'735. 60 im Rahmen von Verantwortlichkeitsansprüchen gegen ihn geltend zu machen. Nach Abzug dieser Beträge verbleibe eine Schadenssumme von Fr. 83'320. 20.</w:t>
      </w:r>
    </w:p>
    <w:p>
      <w:r>
        <w:t>Voraussetzung der Verrechnung ist nach Art. 120 Abs. 1 OR die Gegenseitigkeit der zu verrechnenden Forderungen, das heisst Gläubiger und Schuldner müssen die gleichen Personen sein. Diese Voraussetzung ist hier nicht gegeben, und zwar unabhängig davon, ob auf die Rechtsprechung vor oder nach BGE 117 II 432 ff. abgestellt wird. Im zweiten Fall macht der Abtretungsgläubiger eine Forderung der Gesamtheit der Gläubiger geltend, weshalb nur verrech- net werden könnte, wenn sich die Gegenforderung des Beklagten gegen all diese Gläubiger richten würde. Im ersten Fall (Doppelnatur der Klage) macht der Abtretungsgläubiger neben dem Anspruch der Gesellschaft auch einen eigenen geltend, womit wiederum die Gegenseitigkeit fehlt, wenn die aus</w:t>
      </w:r>
    </w:p>
    <w:p>
      <w:r>
        <w:t>aktienrechtlicher Verantwortlichkeit in Anspruch genommene Person mit einer Forderung gegen die konkursite Gesellschaft verrechnen will. Das anerkennen denn auch die vom Beklagten zitierten Autoren (Forstmoser, a.a.O., S. 172 Rz. 536; Aepli, Zürcher Kommentar, N. 39 zu Art. 120 OR ). Die Meinung des von Forstmoser zitierten Kurt Blickenstorfer (Die genossenschaftliche Verantwortlichkeit, Diss. Zürich 1986, S. 149 Nr. 330) vermag im Übrigen nicht zu überzeugen. Zum einen besteht nach dem Gesetz kein Raum für einen Schutz des verantwortlichen Organs vor der "Zufälligkeit des Ansprechers", denn gemäss Art. 260 SchKG und Art. 756 Abs. 2 aOR kann jeder Gläubiger die Abtretung des Anspruchs aus aktienrechtlicher Verantwortlichkeit verlangen und Klage einreichen. Zum andern liegt auch nichts Stossendes darin, dass der Verantwortliche verrechnen kann, wenn die Gesellschaft selbst den von ihr - unmittelbar - erlittenen Schaden einklagt, nicht dagegen, wenn der Abtretungsgläubiger den ihm bzw. der Gesamtheit der Gläubiger mittelbar erwachsenen Schaden einklagt. Diese differenzierte Wertung der sich jeweils gegenüber stehenden Interessen ist der gesetzlichen Regelung immanent.</w:t>
      </w:r>
    </w:p>
    <w:p>
      <w:r>
        <w:t>Unbehilflich ist sodann das Vorbringen, die T.________ Immobilien AG habe darauf verzichtet, ihre kollozierte Forderung im Verantwortlichkeitsprozess des Beklagten geltend zu machen. Dieser Verzicht hat keinen Einfluss auf die Schadensberechnung der Vorinstanz. Anders hätte es sich nur verhalten, wenn die T.________ Immobilien AG rechtsgültig gegenüber der X.________ oder der Konkursmasse auf die Forderung verzichtet hätte. Das wird vom Beklagten aber nicht behauptet. Es bleibt somit bei der Feststellung der Vorinstanz, dass von einem Fortsetzungsschaden von Fr. 339'364. 05 auszugehen ist.</w:t>
      </w:r>
    </w:p>
    <w:p>
      <w:r>
        <w:t>Der Beklagte kündigt schliesslich an, im Fall der Rückweisung der Sache an die Vorinstanz eine Vereinbarung vom 27. Oktober/9. November 1994 zwischen der Klägerin und C.________ als Novum in das kantonale Verfahren einbringen zu wollen. Aus dieser Vereinbarung gehe hervor, dass C.________ sich verpflichtet habe, der Klägerin Fr. 20'000.-- als Abgeltung für Verantwortlichkeitsansprüche zu zahlen.</w:t>
      </w:r>
    </w:p>
    <w:p>
      <w:r>
        <w:t>Nach Auffassung des Beklagten hat sich der von der Vorinstanz festgestellte Schadensbetrag mit der Zahlung durch C.________ um Fr. 20'000.-- reduziert. Diese Behauptung ist wegen des für das Berufungsverfahren geltenden Novenverbotes ( Art. 55 Abs. 1 lit. c OG ) nicht zu hören. Davon abgesehen würde eine Reduktion um Fr. 20'000.-- dem Beklagten auch nicht weiter helfen, da der Fortsetzungsschaden immer noch Fr. 319'364. 05 betragen und damit den von der Vorinstanz zugesprochenen Betrag von Fr. 220'000.-- übersteigen würde.</w:t>
      </w:r>
    </w:p>
    <w:p>
      <w:r>
        <w:rPr>
          <w:b/>
        </w:rPr>
        <w:t>E. 3</w:t>
      </w:r>
    </w:p>
    <w:p>
      <w:r>
        <w:t>Aus diesen Gründen ist die Berufung abzuweisen, soweit auf sie eingetreten werden kann, und das angefochtene Urteil zu bestätigen.</w:t>
      </w:r>
    </w:p>
    <w:p>
      <w:r>
        <w:t>Dem Ausgang des Verfahrens entsprechend ist die Gerichtsgebühr dem Beklagten aufzuerlegen ( Art. 156 Abs. 1 OG ). Er hat die Klägerin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