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4C.259/2005 vom 14. Dezember 2005</w:t>
      </w:r>
    </w:p>
    <w:p>
      <w:r>
        <w:t>Bundesgericht, 2005-12-14, FR</w:t>
      </w:r>
    </w:p>
    <w:p>
      <w:r>
        <w:rPr>
          <w:b/>
        </w:rPr>
        <w:t xml:space="preserve">Quelle: </w:t>
      </w:r>
      <w:r>
        <w:t>https://mcp.opencaselaw.ch/entscheid/bger_4C.259_2005</w:t>
      </w:r>
    </w:p>
    <w:p>
      <w:r>
        <w:t>FR: TF 4C.259/2005 du 14 décembre 2005</w:t>
      </w:r>
    </w:p>
    <w:p>
      <w:r>
        <w:t>IT: TF 4C.259/2005 del 14 dicembre 2005</w:t>
      </w:r>
    </w:p>
    <w:p>
      <w:pPr>
        <w:pStyle w:val="Heading2"/>
      </w:pPr>
      <w:r>
        <w:t>Regeste</w:t>
      </w:r>
    </w:p>
    <w:p>
      <w:r>
        <w:t>contrat de courtage | Droit des contrats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w:t>
      </w:r>
    </w:p>
    <w:p>
      <w:r>
        <w:rPr>
          <w:b/>
        </w:rPr>
        <w:t>E. 2</w:t>
      </w:r>
    </w:p>
    <w:p>
      <w:r>
        <w:t>Il est constant que les parties se sont liées par un contrat de courtage et que les défendeurs se sont obligés à payer la rémunération convenue, en tant que celle-ci était due selon l' art. 413 CO . Le droit à la rémunération prend naissance lorsque le courtier a indiqué au mandant l'occasion de conclure le contrat principal voulu par lui, ou a négocié pour le compte du mandant avec un éventuel cocontractant, et que cette activité aboutit à la conclusion de ce contrat ( art. 413 al. 1 CO ; ATF 131 III 268 consid. 5.1.4 p. 277; 114 II 357 consid. 3a p. 359). La rémunération du courtier est donc aléatoire et elle dépend essentiellement du résultat de son activité (François Rayroux, Commentaire romand, ch. 1 ad art. 413 CO ; cf. ATF 100 II 361 consid. 3c in fine p. 365). Le résultat doit se trouver dans un rapport de causalité avec l'activité ( ATF 97 II 355 consid. 3 p. 357).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 ATF 84 II 542 consid. 5 p. 548/549; 76 II 378 consid. 2 p. 381; 72 II 84 consid. 2 p. 89). Il importe peu que le courtier n'ait pas participé jusqu'au bout aux négociations du vendeur et de l'acheteur, ni qu'un autre courtier ait aussi été mis en oeuvre. En pareil cas, la condition suspensive de l' art. 413 al. 1 CO n'est défaillante que si l'activité du courtier n'a abouti à aucun résultat, que les pourparlers consécutifs à cette activité ont été définitivement rompus et que l'affaire est finalement conclue, avec le tiers qu'il avait présenté, sur des bases toutes nouvelles ( ATF 72 II 84 consid. 2 p. 89; 62 II 342 consid. 2 p. 344). Le temps écoulé entre les derniers efforts du courtier et la conclusion du contrat principal est en soi un fait dénué de portée ( ATF 84 II 542 consid. 3 p. 546). Il incombe au courtier de prouver le rapport de causalité entre son activité et la conclusion du contrat principal par le mandant et le tiers ( ATF 72 II 84 consid. 2 p. 89). Le courtier bénéficie toutefois d'une présomption de fait en ce sens que s'il a réellement accompli des efforts objectivement propres à favoriser la conclusion du contrat, on peut admettre, si le contraire ne ressort pas des circonstances, que ces efforts ont effectivement entraîné cette conséquence ( ATF 57 II 187 consid. 3 p. 193; 40 II 524 consid. 6a p. 531).</w:t>
      </w:r>
    </w:p>
    <w:p>
      <w:r>
        <w:rPr>
          <w:b/>
        </w:rPr>
        <w:t>E. 3</w:t>
      </w:r>
    </w:p>
    <w:p>
      <w:r>
        <w:t>Selon les constatations de la Cour de justice, la demanderesse a publié une annonce et elle a ainsi suscité l'intérêt des époux T.________ pour la propriété que les défendeurs avaient mise en vente. Elle leur a ensuite fait visiter cette propriété. Tout cela constituait sans aucun doute des démarches propres à aboutir, éventuellement, à la conclusion du contrat de vente qui a finalement été instrumenté le 18 juillet 2003; les époux T.________ ont d'ailleurs présenté, par l'intermédiaire de la demanderesse, une offre d'achat. Il ressort toutefois aussi de ces constatations que les amateurs ainsi amenés aux défendeurs se sont déclarés insatisfaits des prestations de la demanderesse, en raison d'une information lacunaire ou tardive relative au projet de construction qui était en cours sur la parcelle voisine, et que, au regard de cette situation, ils ont retiré leur offre. La Cour de justice n'a pas constaté qu'après cette péripétie, la demanderesse aurait renoué un contact avec eux; elle a au contraire établi que l'activité d'un autre courtier s'est poursuivie jusqu'à la vente. Autrement dit, elle a mis en évidence une rupture définitive des pourparlers amorcés par la demanderesse, suivie de nouveaux pourparlers auxquels celle-ci était désormais étrangère et qui ont abouti, eux, à la vente. Tout cela conduit a retenir qu'il n'existe pas de causalité, même lointaine, entre l'activité de la demanderesse et la conclusion du marché; on ne voit donc rien, dans l'arrêt attaqué, qui soit contraire à l' art. 413 al. 1 CO .</w:t>
      </w:r>
    </w:p>
    <w:p>
      <w:r>
        <w:rPr>
          <w:b/>
        </w:rPr>
        <w:t>E. 4</w:t>
      </w:r>
    </w:p>
    <w:p>
      <w:r>
        <w:t>La demanderesse invoque l' art. 8 CC , relatif au fardeau de la preuve dans les causes soumises au droit civil fédéral, et elle fait grief à la Cour de justice de n'avoir pas pris en considération la présomption de fait qui doit profiter au courtier selon la jurisprudence précitée. Une présomption de ce genre n'intervient toutefois pas au stade de l'application du droit mais seulement à celui de l'appréciation des preuves, en ce sens qu'elle offre un allégement de la preuve en faveur de la partie qui en a la charge ( ATF 123 III 241 consid. 2a p. 243; 117 II 256 consid. 2b p. 258). Or, l' art. 8 CC ne régit pas l'appréciation des preuves ( ATF 131 III 222 consid. 4.3 p. 226; 129 III 18 consid. 2.6 p. 24/25) et le recours en réforme n'est pas recevable pour se plaindre de cette appréciation et des constatations de fait qui en résultent ( ATF 130 III 102 consid. 2.2 in fine, 136 consid. 1.4; 129 III 618 consid. 3). Pour le surplus, la Cour de justice ayant constaté des faits qui excluent le lien de causalité entre l'activité de la défenderesse et la conclusion du contrat de vente, il n'est plus question de rechercher à quelle partie il incombait de prouver quels faits (Hans Schmid, Commentaire bâlois, 2e éd., ch. 4 ad art. 8 CC ). La demanderesse se réfère aussi à un arrêt de la Cour de justice du 30 décembre 1990 (SJ 1991 p. 217) selon lequel, à son avis, la condition de l' art. 413 al. 1 CO ne dépend pas d'un lien de causalité entre l'activité du courtier et la décision du tiers ayant pour objet de conclure le contrat principal, mais entre cette activité et la décision du mandant d'accepter le tiers qui lui est proposé. Or, en tant que cette décision cantonale peut effectivement être comprise de cette manière (p. 220 in medio), elle est erronée car le courtier n'a pas pour mission, selon l' art. 412 al. 1 CO , d'exercer une influence sur la volonté de son propre mandant. L'argumentation soumise au Tribunal fédéral porte surtout, très longuement, sur l'interprétation du contrat de courtage du 19 décembre 2002. La demanderesse cherche à démontrer que ce contrat prévoyait une rémunération, certes subordonnée à la condition de l' art. 413 al. 1 CO , non seulement pour une activité d'indication mais aussi pour une activité de négociation. Ces développements sont inutiles car la Cour de justice n'a rien retenu de différent: selon son raisonnement, une activité d'indication suffisait, le cas échéant, à faire naître le droit à la rémunération convenue; il n'était pas nécessaire que la demanderesse fournît de plus une activité de négociation. Cette discussion est aussi inutile compte tenu que le droit à la rémunération doit de toute manière être dénié en raison de l'absence de causalité entre les prestations de la demanderesse, toutes catégories d'activité confondues, et le contrat de vente d'immeuble conclu le 18 juillet 2003.</w:t>
      </w:r>
    </w:p>
    <w:p>
      <w:r>
        <w:rPr>
          <w:b/>
        </w:rPr>
        <w:t>E. 5</w:t>
      </w:r>
    </w:p>
    <w:p>
      <w:r>
        <w:t>Le recours en réforme se révèle privé de fondement, dans la mesure où les griefs présentés sont recevables. A titre de partie qui succombe, la demanderesse doit acquitter l'émolument judiciaire et les dépens à allouer aux défendeurs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