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4C.254/2004 vom 3. November 2004</w:t>
      </w:r>
    </w:p>
    <w:p>
      <w:r>
        <w:t>Bundesgericht, 2004-11-03, FR</w:t>
      </w:r>
    </w:p>
    <w:p>
      <w:r>
        <w:rPr>
          <w:b/>
        </w:rPr>
        <w:t xml:space="preserve">Quelle: </w:t>
      </w:r>
      <w:r>
        <w:t>https://mcp.opencaselaw.ch/entscheid/bger_4C.254_2004</w:t>
      </w:r>
    </w:p>
    <w:p>
      <w:r>
        <w:t>FR: TF 4C.254/2004 du 3 novembre 2004</w:t>
      </w:r>
    </w:p>
    <w:p>
      <w:r>
        <w:t>IT: TF 4C.254/2004 del 3 novembre 2004</w:t>
      </w:r>
    </w:p>
    <w:p>
      <w:pPr>
        <w:pStyle w:val="Heading2"/>
      </w:pPr>
      <w:r>
        <w:t>Erwägungen</w:t>
      </w:r>
    </w:p>
    <w:p>
      <w:r>
        <w:rPr>
          <w:b/>
        </w:rPr>
        <w:t>E. 1.1</w:t>
      </w:r>
    </w:p>
    <w:p>
      <w:r>
        <w:t>Interjeté par les parties demanderesses, qui ont succombé dans leurs conclusions libératoires, et dirigé contre une décision finale rendue en dernière instance cantonale par un tribunal supérieur ( art. 48 al. 1 OJ ), le présent recours est recevable, puisqu'il a été déposé en temps utile ( art. 54 al. 1 OJ ) et dans les formes requises ( art. 55 OJ ).</w:t>
      </w:r>
    </w:p>
    <w:p>
      <w:r>
        <w:rPr>
          <w:b/>
        </w:rPr>
        <w:t>E. 1.2</w:t>
      </w:r>
    </w:p>
    <w:p>
      <w:r>
        <w:t>Le recours en réforme est ouvert pour violation du droit fédéral, mais non pour violation directe d'un droit de rang constitutionnel ( art. 43 al. 1 OJ ), ni pour violation du droit cantonal ( art. 55 al. 1 let . c in fine OJ).</w:t>
      </w:r>
    </w:p>
    <w:p>
      <w:r>
        <w:rPr>
          <w:b/>
        </w:rPr>
        <w:t>E. 1.3</w:t>
      </w:r>
    </w:p>
    <w:p>
      <w:r>
        <w:t>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w:t>
      </w:r>
    </w:p>
    <w:p>
      <w:r>
        <w:t>Selon les demandeurs, la Cour de justice, en raison d'une inadvertance manifeste (sur cette notion, cf. ATF 115 II 399 consid. 2a; 109 II 159 consid. 2b), aurait constaté à tort qu'ils n'avaient pas contesté l'existence - et non pas uniquement le montant - de la créance d'honoraires de l'intimée, au moment de signer l'accord du 13 juillet 2000. A les en croire, cette constatation serait infirmée par la pièce 20. Il n'en est rien. Pour les motifs indiqués dans l'arrêt séparé relatif au recours de droit public (consid. 2.2), les juges cantonaux, non seulement n'ont pas omis de prendre en considération la pièce en question, mais, qui plus est, ont posé la constatation critiquée sur la base d'une appréciation des preuves exempte d'arbitraire.</w:t>
      </w:r>
    </w:p>
    <w:p>
      <w:r>
        <w:t>Cela étant, il n'y a pas lieu de rectifier les constatations de fait des juges précédents.</w:t>
      </w:r>
    </w:p>
    <w:p>
      <w:r>
        <w:rPr>
          <w:b/>
        </w:rPr>
        <w:t>E. 2.1</w:t>
      </w:r>
    </w:p>
    <w:p>
      <w:r>
        <w:t>Après avoir rappelé, dans une première partie théorique, les règles et principes régissant la lésion ( art. 21 CO ), la transaction extrajudiciaire, la reconnaissance de dette ( art. 17 CO ) et le courtage ( art. 412 ss CO ), ainsi que la manière dont la jurisprudence et la doctrine les interprètent, la Cour de justice, appliquant ces règles et principes à l'état de fait retenu par elle, a tenu le raisonnement résumé ci-après.</w:t>
      </w:r>
    </w:p>
    <w:p>
      <w:r>
        <w:t>Le contrat conclu le 22 février 1999 par E.________ SA et ses actionnaires avec C.________ SA faisait dépendre la rémunération de cette société de la conclusion d'une affaire avec un tiers investisseur (prêt, vente d'actions ou souscription d'actions à l'occasion d'une augmentation de capital). Il s'agissait donc d'un courtage, au sens des art. 412 ss CO . Ledit contrat a été modifié par deux fois ultérieurement: un avenant du 12 avril 1999 a accordé à la défenderesse "un droit de première offre" dont l'interprétation est litigieuse; un autre avenant, signé le 21 mai 1999, a permis à la société F.________ de se joindre aux actionnaires comme partie au contrat de courtage.</w:t>
      </w:r>
    </w:p>
    <w:p>
      <w:r>
        <w:t>S'agissant de la rémunération de la défenderesse, la situation était peu claire au moment où les actionnaires avaient trouvé eux-mêmes un acquéreur potentiel - la société G.________ Inc - de toutes leurs actions, d'autant plus que cet acquéreur exigeait de voir E.________ SA libérée par la défenderesse de son obligation de payer les honoraires découlant du contrat de courtage. Ces honoraires, qui étaient en principe payables immédiatement ( art. 75 CO ) et en numéraire ( art. 84 CO ), ont été contestés quant à leur ampleur par les actionnaires de E.________ SA. Il y avait donc à tout le moins une incertitude, sinon déjà un litige, sur ce point.</w:t>
      </w:r>
    </w:p>
    <w:p>
      <w:r>
        <w:t>C'est dans ces circonstances qu'a été passé l'accord du 13 juillet 2000, par lequel les actionnaires se reconnaissaient débiteurs solidaires de la défenderesse pour la totalité de la créance d'honoraires de celle-ci et acceptaient de payer ses frais d'avocat, tandis que la défenderesse consentait à la libération de sa débitrice E.________ SA, renonçait à son option sur les actions bloquées de cette société, accordait aux débiteurs un sursis pour une partie de sa créance et acceptait, pour l'autre partie, de recevoir - à titre de dation en vue de paiement - une autre prestation (la remise d'actions G.________ Inc) qu'un paiement en numéraire. L'accord en question, reposant sur des concessions réciproques, doit être qualifié de transaction extrajudiciaire.</w:t>
      </w:r>
    </w:p>
    <w:p>
      <w:r>
        <w:t>Les actionnaires de E.________ SA ont déclaré invalider cette transaction pour cause de lésion. Pour qu'ils l'aient fait avec succès, il faut qu'il y ait eu une disproportion évidente entre les prestations des parties, condition qui ne doit être admise qu'avec une certaine retenue lorsqu'il s'agit d'une transaction. A cet égard, s'il est vrai que la défenderesse a utilisé sciemment la faiblesse de ses cocontractants pour obtenir la reconnaissance pleine et entière de sa créance d'honoraires, il faut souligner, d'un autre côté, que les actionnaires de E.________ SA ne contestaient que le montant de cette créance de sorte que les concessions faites par la titulaire de celle-ci constituaient une contrepartie non négligeable. Ainsi, il n'y avait pas en l'espèce de disproportion évidente entre les prestations des parties. Au lieu de devoir payer immédiatement les honoraires du courtier pour pouvoir vendre leurs actions à G.________ Inc, selon une exigence formulée d'ailleurs par cette dernière société et non par la défenderesse, les actionnaires de E.________ SA ont gagné du temps et la possibilité de réaliser un bénéfice sur les actions G.________ Inc, pour pouvoir payer les honoraires ultérieurement. Et si leurs espoirs de gain ont été déçus, pour des raisons indépendantes de la volonté de la défenderesse, ce n'est pas à cette dernière d'en supporter les conséquences par le biais d'une invalidation de la transaction du chef de la prétendue lésion.</w:t>
      </w:r>
    </w:p>
    <w:p>
      <w:r>
        <w:t>Enfin, la nature de cet accord empêche les demandeurs de soutenir que la reconnaissance de dette qui y est incluse ne découle d'aucune cause valable, au motif que la créance d'honoraires du courtier n'existerait pas.</w:t>
      </w:r>
    </w:p>
    <w:p>
      <w:r>
        <w:rPr>
          <w:b/>
        </w:rPr>
        <w:t>E. 2.2</w:t>
      </w:r>
    </w:p>
    <w:p>
      <w:r>
        <w:t>Les demandeurs reprochent à la cour cantonale d'avoir conduit un raisonnement insolite et "quasi circulaire" consistant à créer artificiellement une incertitude juridique quant à la créance d'honoraires de la défenderesse pour conclure ensuite, sur la base de cette prémisse erronée, à l'existence d'une transaction extrajudiciaire, en laissant ainsi ouvertes les seules questions pertinentes pour la solution du litige.</w:t>
      </w:r>
    </w:p>
    <w:p>
      <w:r>
        <w:t>Selon les demandeurs, la Cour de justice, si elle avait tenu compte de la chronologie contractuelle, aurait dû admettre que le contrat de courtage ne fondait aucune garantie de salaire pour la défenderesse; que même dans l'hypothèse inverse, celle-ci n'aurait pas pu réclamer un salaire pour la transaction en cause; que les demandeurs n'ont jamais reconnu le principe d'un tel salaire; que la lettre du 13 juillet ne constitue pas une transaction mettant fin à une incertitude, mais une reconnaissance de dette relative à une créance inexistante; qu'enfin, même s'il fallait y voir une transaction, cet accord lésionnaire a été invalidé régulièrement.</w:t>
      </w:r>
    </w:p>
    <w:p>
      <w:r>
        <w:t>Les arguments avancés par les demandeurs pour étayer ces différentes propositions seront exposés plus loin dans la mesure utile.</w:t>
      </w:r>
    </w:p>
    <w:p>
      <w:r>
        <w:rPr>
          <w:b/>
        </w:rPr>
        <w:t>E. 2.3</w:t>
      </w:r>
    </w:p>
    <w:p>
      <w:r>
        <w:t>La défenderesse souscrit, quant à elle, à l'analyse du cas telle qu'elle a été faite par les juges précédents et elle s'emploie à réfuter les critiques que leur adressent les demandeurs. Ses explications seront détaillées ci-après en tant que de besoin.</w:t>
      </w:r>
    </w:p>
    <w:p>
      <w:r>
        <w:rPr>
          <w:b/>
        </w:rPr>
        <w:t>E. 3.1</w:t>
      </w:r>
    </w:p>
    <w:p>
      <w:r>
        <w:t>Il n'est pas contesté, ni contestable d'ailleurs, que les parties ont été liées par un contrat de courtage au sens des art. 412 ss CO .</w:t>
      </w:r>
    </w:p>
    <w:p>
      <w:r>
        <w:t>Dans un premier groupe de moyens, les demandeurs tentent de démontrer que les clauses du contrat de courtage et, singulièrement, celle de l'avenant du 12 avril 1999 accordant un "droit de première offre" à la défenderesse ne pouvaient pas être interprétées en ce sens que le courtier aurait droit à un salaire même si le contrat principal était conclu avec une partie amenée par les mandants. Au demeurant, à supposer que le contrat de courtage ait comporté une telle clause d'exclusivité complète, la défenderesse ne pouvait pas se prévaloir de cette clause en l'espèce, de l'avis des demandeurs, puisqu'elle n'avait exercé aucune activité et n'avait pas eu de rapports avec l'acquéreur.</w:t>
      </w:r>
    </w:p>
    <w:p>
      <w:r>
        <w:t>La cour cantonale retient, en fait, que les demandeurs ne contestaient pas l'existence même d'une créance d'honoraires de la défenderesse, au moment où ils avaient signé l'accord du 13 juillet 2000, mais uniquement le montant de cette créance, qu'ils jugeaient excessif. Cette constatation, que les demandeurs ont attaquée sans succès dans leur recours de droit public connexe ainsi que dans le présent recours (sous l'angle de l'inadvertance manifeste; cf. consid. 1.3 ci-dessus), rend superflu l'examen des moyens sus-indiqués. En effet, ce qui est décisif, pour déterminer la portée juridique de l'accord du 13 juillet 2000, ce n'est pas de savoir si, objectivement, la défenderesse pouvait réclamer un salaire pour la vente des actions de E.________ SA à G.________ Inc, mais d'établir quelle était l'appréciation subjective des parties à ce sujet. Or, il résulte de la susdite constatation souveraine des juges du fait que seule l'ampleur de la rémunération de la défenderesse, et non son principe même, était contestée par les demandeurs. Qu'un tribunal appelé à se prononcer sur ce point ait pu éventuellement aboutir à la conclusion que les conditions de la rémunération du courtier n'étaient pas réalisées en l'occurrence ne change donc rien à l'affaire.</w:t>
      </w:r>
    </w:p>
    <w:p>
      <w:r>
        <w:t>Au demeurant, il n'est pas du tout certain que semblable conclusion se fût imposée dans le cas particulier, quoi qu'en disent les demandeurs. D'abord, on ne saurait exclure a priori que le "droit de première offre" puisse être considéré comme une clause d'exclusivité assurant au courtier son droit au salaire même dans l'hypothèse où l'acheteur des actions serait présenté par un tiers ou par les mandants et sans qu'il ait participé à la conclusion du marché. L'interprétation a contrario de la clause 2 (iv) du contrat de courtage du 22 février 1999, selon laquelle les honoraires de la défenderesse seraient réduits de moitié si l'acquéreur était présenté par le Crédit Suisse First Boston France SA, va effectivement dans le sens indiqué par l'intéressée. En revanche, celle que proposent les demandeurs - le droit de première offre autoriserait la défenderesse à ne pas agir comme conseiller financier lorsque les mandants auraient amené un investisseur potentiel, ceci pour éviter des conflits d'intérêts - apparaît bien moins convaincante, car elle implique qu'à l'expiration du délai dont était assorti le droit en question, la défenderesse eût été contrainte de fournir ses services, quel que fût l'investisseur potentiel. Par ailleurs, les demandeurs s'écartent une fois de plus des constatations de la cour cantonale, lorsqu'ils soutiennent que la défenderesse n'a de toute façon exercé aucune activité. Les juges précédents ont en effet admis que la défenderesse n'était pas restée totalement inactive dans le cadre des négociations avec l'acheteur trouvé par les actionnaires de G.________ Inc.</w:t>
      </w:r>
    </w:p>
    <w:p>
      <w:r>
        <w:t>Les critiques des demandeurs se rapportant à l'interprétation du contrat de courtage litigieux et à l'exécution, par la défenderesse, des obligations en dérivant tombent, par conséquent, à faux.</w:t>
      </w:r>
    </w:p>
    <w:p>
      <w:r>
        <w:rPr>
          <w:b/>
        </w:rPr>
        <w:t>E. 3.2.1</w:t>
      </w:r>
    </w:p>
    <w:p>
      <w:r>
        <w:t>Une transaction extrajudiciaire est un contrat synallagmatique et onéreux par lequel les parties terminent un litige ou mettent fin, par des concessions réciproques, à une incertitude, subjective ou objective, touchant les faits, leur qualification juridique, l'existence, le contenu ou l'étendue d'un rapport de droit ( ATF 121 III 495 consid. 5b p. 498; 111 II 349 consid. 1). La transaction permet ainsi aux parties de régler à nouveau leurs rapports (ATF 114 lb 74 consid. 1 p. 78). Ces nouveaux rapports sont fondés sur des concessions réciproques, qui peuvent prendre la forme d'une reconnaissance de dette, d'une remise de dette, d'une remise d'intérêts moratoires, d'un aménagement de délais de paiement, etc. (arrêt 4C.186/2002 du 22 octobre 2002, consid. 2.1). De telles concessions, qui n'ont nullement besoin d'être égales (Pierre Tercier, Les contrats spéciaux, 3e éd., n. 7109), ont été admises, par exemple, dans le cas où le débiteur avait reconnu l'intégralité de la créance litigieuse et avait obtenu en contrepartie des facilités de paiement (cf. J. von Staudinger/Peter Marburger [2002] n. 27 ad § 779 BGB et l'arrêt cité).</w:t>
      </w:r>
    </w:p>
    <w:p>
      <w:r>
        <w:rPr>
          <w:b/>
        </w:rPr>
        <w:t>E. 3.2.2</w:t>
      </w:r>
    </w:p>
    <w:p>
      <w:r>
        <w:t>Considéré à la lumière de la définition susmentionnée, telle qu'explicitée par la jurisprudence et la doctrine citées, l'accord passé le 13 juillet 2000 doit être qualifié de transaction extrajudiciaire. De fait, en signant cet accord, la défenderesse a renoncé à réclamer le paiement immédiat et en numéraire de sa créance, dont le principe n'était pas contesté par les demandeurs. Il n'importe, pour la qualification dudit accord, que ceux-ci aient consenti un sacrifice financier plus important que celui de leur cocontractante. Ce qui est déterminant, dans une transaction, ce sont les concessions réciproques comme telles (Arthur Meier-Hayoz, Fiche juridique suisse n° 463 p. 1). Or, en l'espèce, il y a bel et bien eu des concessions de part et d'autre, fussent-elles inégales. Que la principale d'entre elles ait pris la forme d'une reconnaissance de dette ne saurait modifier la qualification juridique de l'accord controversé, puisqu'il s'agit là de l'une des formes que peut revêtir une transaction extrajudiciaire.</w:t>
      </w:r>
    </w:p>
    <w:p>
      <w:r>
        <w:rPr>
          <w:b/>
        </w:rPr>
        <w:t>E. 3.3.1</w:t>
      </w:r>
    </w:p>
    <w:p>
      <w:r>
        <w:t>Comme tout autre contrat, la transaction extrajudiciaire est soumise aux règles générales affectant sa validité, en particulier aux art. 20 ss CO (Tercier, op. cit., n. 7151), sous certaines réserves découlant de sa nature même (cf. ATF 130 III 49 consid. 1.2; 111 II 349 consid. 1 et les arrêts cités).</w:t>
      </w:r>
    </w:p>
    <w:p>
      <w:r>
        <w:t>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 art. 21 al. 1 CO ).</w:t>
      </w:r>
    </w:p>
    <w:p>
      <w:r>
        <w:t>La disproportion entre les prestations promises doit sauter aux yeux, violer ouvertement le standard de la loyauté contractuelle et être le résultat d'une exploitation usuraire (Bruno Schmidlin, Commentaire romand, n. 1 et 5 ad art. 21 CO ). En matière de transaction, elle ne saurait résider dans le fait qu'une partie aurait pu exiger davantage ou autre chose si elle avait connu la situation juridique objective, semblable risque étant accepté par les parties dès le moment où elles commencent à transiger. Il faut par conséquent se placer au moment de la conclusion de l'accord pour déterminer si, au vu de l'appréciation subjective des parties, les concessions faites par l'une d'entre elles ne sont pas disproportionnées par rapport à celles qu'a faites l'autre (Tercier, op. cit., n. 7152).</w:t>
      </w:r>
    </w:p>
    <w:p>
      <w:r>
        <w:t>On est en présence d'une gêne, au sens de l' art. 21 al. 1 CO , lorsqu'une partie se trouve, au moment de la conclusion du contrat, dans un état de grande détresse - généralement, mais pas nécessairement, économique - qui lui fait considérer la conclusion du contrat désavantageux pour elle comme un moindre mal par rapport au préjudice dont elle est menacée ( ATF 123 III 292 consid. 5 p. 301 et les références).</w:t>
      </w:r>
    </w:p>
    <w:p>
      <w:r>
        <w:rPr>
          <w:b/>
        </w:rPr>
        <w:t>E. 3.3.2</w:t>
      </w:r>
    </w:p>
    <w:p>
      <w:r>
        <w:t>En l'occurrence, la défenderesse était certes en position de force au moment de conclure la transaction litigieuse, puisqu'elle avait en face d'elle les actionnaires d'une société aux abois. Qu'elle ait tiré parti de la situation pour obtenir de ses cocontractants l'intégralité de ce qu'elle estimait lui être dû est indéniable et du reste admis par les juges cantonaux. Cet état de choses ne suffit cependant pas pour conclure à l'existence d'une lésion. Encore faut-il, pour cela, que la défenderesse ait exploité la gêne des demandeurs pour leur extorquer des concessions disproportionnées par rapport aux siennes.</w:t>
      </w:r>
    </w:p>
    <w:p>
      <w:r>
        <w:t>Si l'on tient compte de la nature spécifique de toute transaction extrajudiciaire ainsi que du fait que les demandeurs ne contestaient pas le principe, mais uniquement l'ampleur de la rémunération réclamée par la défenderesse, la disproportion entre les prestations promises de part et d'autre ne saute pas aux yeux. De fait, la défenderesse n'a pas exploité l'état de gêne des demandeurs pour leur réclamer une rémunération exorbitante, puisque le montant de la créance qu'elle s'est fait reconnaître correspond à celui qui était fixé dans le contrat de courtage, à savoir 5% de la valeur de la transaction, TVA en sus. Sans doute la défenderesse s'est-elle fait payer par les demandeurs ses frais d'avocat à concurrence de 30'100 fr. Toutefois, il n'est pas exclu qu'une telle prétention ait pu trouver sa justification dans la clause spécifique du contrat de courtage relative à l'indemnisation du courtier, ainsi que la défenderesse le relève dans sa réponse au recours. Il ne faut d'ailleurs pas perdre de vue qu'en renonçant à percevoir immédiatement sa rémunération en numéraire, l'intéressée a également consenti un sacrifice financier d'une certaine importance. Enfin et surtout, comme le souligne avec raison la cour cantonale, si les demandeurs n'ont pas pu tirer profit, après la conclusion de l'accord du 13 juillet 2000, des actions G.________ Inc qui leur avaient été remises en échange des actions E.________ SA, ce n'est pas à la défenderesse d'en supporter les conséquences. On ne peut, en effet, écarter l'hypothèse inverse où, grâce à l'acquisition de ces titres, ils auraient pu réaliser un profit, même après avoir versé à la défenderesse le montant reconnu par eux dans ledit accord.</w:t>
      </w:r>
    </w:p>
    <w:p>
      <w:r>
        <w:t>Cela étant, la Cour de justice n'a pas violé le droit fédéral en refusant d'appliquer en l'espèce l' art. 21 CO , disposition dont la mise en oeuvre doit rester exceptionnelle d'une manière générale et, à plus forte raison, lorsqu'elle est invoquée à l'encontre d'une transaction.</w:t>
      </w:r>
    </w:p>
    <w:p>
      <w:r>
        <w:rPr>
          <w:b/>
        </w:rPr>
        <w:t>E. 4</w:t>
      </w:r>
    </w:p>
    <w:p>
      <w:r>
        <w:t>Dans ces conditions, le présent recours ne peut qu'être rejeté. Ses auteurs seront, dès lors, condamnés solidairement à payer l'émolument judiciaire ( art. 156 al. 1 et 7 OJ ) et à indemniser leur adverse partie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