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4C.245/2002 vom 14. März 2003</w:t>
      </w:r>
    </w:p>
    <w:p>
      <w:r>
        <w:t>Bundesgericht, 2003-03-14, DE</w:t>
      </w:r>
    </w:p>
    <w:p>
      <w:r>
        <w:rPr>
          <w:b/>
        </w:rPr>
        <w:t xml:space="preserve">Quelle: </w:t>
      </w:r>
      <w:r>
        <w:t>https://mcp.opencaselaw.ch/entscheid/bger_4C.245_2002</w:t>
      </w:r>
    </w:p>
    <w:p>
      <w:r>
        <w:t>FR: TF 4C.245/2002 du 14 mars 2003</w:t>
      </w:r>
    </w:p>
    <w:p>
      <w:r>
        <w:t>IT: TF 4C.245/2002 del 14 marzo 2003</w:t>
      </w:r>
    </w:p>
    <w:p>
      <w:pPr>
        <w:pStyle w:val="Heading2"/>
      </w:pPr>
      <w:r>
        <w:t>Erwägungen</w:t>
      </w:r>
    </w:p>
    <w:p>
      <w:r>
        <w:rPr>
          <w:b/>
        </w:rPr>
        <w:t>E. 1.1</w:t>
      </w:r>
    </w:p>
    <w:p>
      <w:r>
        <w:t>Die Beklagte rügt mit der Berufung, die Vorinstanz habe die im arbeitsrechtlichen Verfahren gemäss Art. 343 Abs. 4 OR geltende Untersuchungsmaxime verletzt, als sie wegen des prozessrechtlichen Novenverbots den Einwand der fehlenden Passivlegitimation nicht prüfte. Unter Berufung auf Vogel/Spühler, Grundriss des Zivilprozessrechts, 7. Aufl., Kapitel 12, Rz. 127 macht sie geltend, wo der Richter den Sachverhalt von Amtes wegen zu erforschen habe, könne er konsequenterweise neue Tatsachen nicht wegen unzeitiger Geltendmachung durch die Parteien ausschliessen.</w:t>
      </w:r>
    </w:p>
    <w:p>
      <w:r>
        <w:rPr>
          <w:b/>
        </w:rPr>
        <w:t>E. 1.2</w:t>
      </w:r>
    </w:p>
    <w:p>
      <w:r>
        <w:t>Nach der Rechtsprechung des Bundesgerichts hat die Regel von Art. 343 Abs. 4 OR nicht zur Folge, dass jede vom kantonalen Prozessrecht festgesetzte Beschränkung der Untersuchungsmaxime unbeachtlich wird. So steht den Kantonen frei, die Kognition der oberen Instanz zu beschränken, namentlich neue Angriffs- und Verteidigungsmittel auszuschliessen ( BGE 107 II 233 E. 2 und E. 3 S. 234f., mit Hinweisen; vgl. auch BGE 125 III 231 E. 4a S. 238f.). Der an dieser Rechtsprechung in der Lehre geübten Kritik hält das Bundesgericht entgegen, dass die Untersuchungsmaxime nicht dazu dient, das Verfahren beliebig auszudehnen und neue Vorbringen der Parteien in jedem Verfahrensstadium zu berücksichtigen. Zur Vermeidung der Prozessverzögerung darf vielmehr von den Parteien verlangt werden, bei der Stoffsammlung bis zu einem bestimmten Verfahrensstadium mitzuwirken. Es ist daher nicht gerechtfertigt, der nachlässigen Partei einen Anspruch einzuräumen, das vor erster Instanz Versäumte im Rechtsmittelverfahren nachzuholen, was sich bereits aus dem für arbeitsrechtliche Streitigkeiten geltenden Gebot des einfachen und raschen Verfahrens ( Art. 343 Abs. 2 OR ) ergibt (Urteil des Bundesgerichts 4C.146/1995 vom 1. Februar 1996, E. 2, mit Hinweisen). Diese Rechtsprechung hat nach wie vor Gültigkeit. Die Vorinstanz hat daher nicht gegen Art. 343 Abs. 4 OR verstossen.</w:t>
      </w:r>
    </w:p>
    <w:p>
      <w:r>
        <w:rPr>
          <w:b/>
        </w:rPr>
        <w:t>E. 2</w:t>
      </w:r>
    </w:p>
    <w:p>
      <w:r>
        <w:t>Soweit die Beklagte die Würdigung der eingereichten Akten durch die kantonalen Gerichte kritisiert, erhebt sie im Verfahren der eidgenössischen Berufung unzulässige Rügen ( Art. 55 Abs. 1 lit. c OG ; BGE 126 III 388 E. 8a S. 389, mit Hinweisen). Diese bleiben unbeachtet.</w:t>
      </w:r>
    </w:p>
    <w:p>
      <w:r>
        <w:t>Aus den dargelegten Gründen ist die Berufung als unbegründet abzuweisen. Das Verfahren ist unentgeltlich ( Art. 343 Abs. 3 OR ). Hingegen hat die Beklagte dem Kläger eine Parteientschädigung zu entrichten ( Art. 159 Abs. 1 und 2 OG ; BGE 115 II 30 E. 5c S. 42,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